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000"/>
        <w:jc w:val="center"/>
      </w:pPr>
      <w:r>
        <w:rPr>
          <w:rFonts w:ascii="Georgia" w:cs="Georgia" w:eastAsia="Georgia" w:hAnsi="Georgia"/>
          <w:b/>
          <w:bCs/>
          <w:color w:val="123F33"/>
          <w:sz w:val="56"/>
          <w:szCs w:val="56"/>
        </w:rPr>
        <w:t xml:space="preserve">INLAND MIND FOUNDATION</w:t>
      </w:r>
    </w:p>
    <w:p>
      <w:pPr>
        <w:spacing w:after="60" w:before="0" w:line="264"/>
        <w:jc w:val="center"/>
      </w:pPr>
      <w:r>
        <w:rPr>
          <w:rFonts w:ascii="Calibri" w:cs="Calibri" w:eastAsia="Calibri" w:hAnsi="Calibri"/>
          <w:color w:val="1A2420"/>
          <w:sz w:val="30"/>
          <w:szCs w:val="30"/>
        </w:rPr>
        <w:t xml:space="preserve">Verification Report &amp; Launch Strategy</w:t>
      </w:r>
    </w:p>
    <w:p>
      <w:pPr>
        <w:spacing w:after="400" w:before="0" w:line="264"/>
        <w:jc w:val="center"/>
      </w:pPr>
      <w:r>
        <w:rPr>
          <w:rFonts w:ascii="Calibri" w:cs="Calibri" w:eastAsia="Calibri" w:hAnsi="Calibri"/>
          <w:color w:val="666666"/>
          <w:sz w:val="22"/>
          <w:szCs w:val="22"/>
        </w:rPr>
        <w:t xml:space="preserve">Claim-by-claim verification of the California Psychiatric Continuity feasibility research, the volunteer-clinic model the research left out, the funding pipeline, and the naming decision</w:t>
      </w:r>
    </w:p>
    <w:p>
      <w:pPr>
        <w:spacing w:after="40" w:before="0" w:line="264"/>
        <w:jc w:val="center"/>
      </w:pPr>
      <w:r>
        <w:rPr>
          <w:rFonts w:ascii="Calibri" w:cs="Calibri" w:eastAsia="Calibri" w:hAnsi="Calibri"/>
          <w:b/>
          <w:bCs/>
          <w:color w:val="1A2420"/>
          <w:sz w:val="21"/>
          <w:szCs w:val="21"/>
        </w:rPr>
        <w:t xml:space="preserve">Fady Boules, PMHNP-BC — Inland Psychiatric Medical Group</w:t>
      </w:r>
    </w:p>
    <w:p>
      <w:pPr>
        <w:spacing w:after="40" w:before="0" w:line="264"/>
        <w:jc w:val="center"/>
      </w:pPr>
      <w:r>
        <w:rPr>
          <w:rFonts w:ascii="Calibri" w:cs="Calibri" w:eastAsia="Calibri" w:hAnsi="Calibri"/>
          <w:color w:val="666666"/>
          <w:sz w:val="19"/>
          <w:szCs w:val="19"/>
        </w:rPr>
        <w:t xml:space="preserve">August 13, 2026 · Verification window: August 13, 2026, Pacific Time</w:t>
      </w:r>
    </w:p>
    <w:p>
      <w:pPr>
        <w:spacing w:after="120" w:before="0" w:line="264"/>
        <w:jc w:val="center"/>
      </w:pPr>
      <w:r>
        <w:rPr>
          <w:rFonts w:ascii="Calibri" w:cs="Calibri" w:eastAsia="Calibri" w:hAnsi="Calibri"/>
          <w:i/>
          <w:iCs/>
          <w:color w:val="666666"/>
          <w:sz w:val="17"/>
          <w:szCs w:val="17"/>
        </w:rPr>
        <w:t xml:space="preserve">Planning document. Not legal, tax, clinical, insurance, or grant-eligibility advice; legal and tax items are drafts for professional review.</w:t>
      </w:r>
    </w:p>
    <w:p>
      <w:r>
        <w:br w:type="page"/>
      </w:r>
    </w:p>
    <w:p>
      <w:pPr>
        <w:pStyle w:val="Heading1"/>
        <w:spacing w:after="120" w:before="280"/>
      </w:pPr>
      <w:r>
        <w:t xml:space="preserve">Contents</w:t>
      </w:r>
    </w:p>
    <w:sdt>
      <w:sdtPr>
        <w:alias w:val="Table of Contents"/>
      </w:sdtPr>
      <w:sdtContent>
        <w:p>
          <w:r>
            <w:fldChar w:fldCharType="begin" w:dirty="true"/>
            <w:instrText xml:space="preserve">TOC \h \o "1-2"</w:instrText>
            <w:fldChar w:fldCharType="separate"/>
          </w:r>
        </w:p>
        <w:p>
          <w:r>
            <w:fldChar w:fldCharType="end"/>
          </w:r>
        </w:p>
      </w:sdtContent>
    </w:sdt>
    <w:p>
      <w:r>
        <w:br w:type="page"/>
      </w:r>
    </w:p>
    <w:p>
      <w:pPr>
        <w:pStyle w:val="Heading1"/>
        <w:spacing w:after="120" w:before="280"/>
      </w:pPr>
      <w:r>
        <w:t xml:space="preserve">1. Executive memo — answer first</w:t>
      </w:r>
    </w:p>
    <w:p>
      <w:pPr>
        <w:spacing w:after="120" w:line="264"/>
      </w:pPr>
      <w:r>
        <w:rPr>
          <w:rFonts w:ascii="Calibri" w:cs="Calibri" w:eastAsia="Calibri" w:hAnsi="Calibri"/>
          <w:b/>
          <w:bCs/>
          <w:color w:val="1A2420"/>
          <w:sz w:val="21"/>
          <w:szCs w:val="21"/>
        </w:rPr>
        <w:t xml:space="preserve">The research is accurate. The strategy hiding inside it is wrong for your budget. </w:t>
      </w:r>
      <w:r>
        <w:rPr>
          <w:rFonts w:ascii="Calibri" w:cs="Calibri" w:eastAsia="Calibri" w:hAnsi="Calibri"/>
          <w:color w:val="1A2420"/>
          <w:sz w:val="21"/>
          <w:szCs w:val="21"/>
        </w:rPr>
        <w:t xml:space="preserve">I checked roughly 75 material claims — enrollment figures, statutes, fees, deadlines, program rules — against primary sources today. About 85% verified exactly. I found zero fabricated citations, which is rare for AI research. The corrections that matter are listed in Section 3.</w:t>
      </w:r>
    </w:p>
    <w:p>
      <w:pPr>
        <w:spacing w:after="120" w:line="264"/>
      </w:pPr>
      <w:r>
        <w:rPr>
          <w:rFonts w:ascii="Calibri" w:cs="Calibri" w:eastAsia="Calibri" w:hAnsi="Calibri"/>
          <w:b/>
          <w:bCs/>
          <w:color w:val="1A2420"/>
          <w:sz w:val="21"/>
          <w:szCs w:val="21"/>
        </w:rPr>
        <w:t xml:space="preserve">The blind spot: </w:t>
      </w:r>
      <w:r>
        <w:rPr>
          <w:rFonts w:ascii="Calibri" w:cs="Calibri" w:eastAsia="Calibri" w:hAnsi="Calibri"/>
          <w:color w:val="1A2420"/>
          <w:sz w:val="21"/>
          <w:szCs w:val="21"/>
        </w:rPr>
        <w:t xml:space="preserve">the study models only a fully-paid staffing “stress case” and concludes you need $3.08M to launch. It explicitly excludes volunteer labor from core capacity. That is a defensible board posture and a wrong answer to your question. Half of America's 1,400+ free clinics run on ≤$250K a year; 92% of the sector's workforce is volunteer; a psychiatric-only volunteer free clinic in Iowa City runs on under $50K a year, and the church-hosted Riverside Free Clinic has run on ~$40K a year for two decades. Your $75–100K one-day-a-week concept is not naive. It is the sector's standard operating model, and the feasibility model v2 workbook now prices it properly: </w:t>
      </w:r>
      <w:r>
        <w:rPr>
          <w:rFonts w:ascii="Calibri" w:cs="Calibri" w:eastAsia="Calibri" w:hAnsi="Calibri"/>
          <w:b/>
          <w:bCs/>
          <w:color w:val="1A2420"/>
          <w:sz w:val="21"/>
          <w:szCs w:val="21"/>
        </w:rPr>
        <w:t xml:space="preserve">$69K floor / $99K base / $129K comfort, 500–830 visits a year, $140–156 cash per visit.</w:t>
      </w:r>
    </w:p>
    <w:p>
      <w:pPr>
        <w:spacing w:after="120" w:line="264"/>
      </w:pPr>
      <w:r>
        <w:rPr>
          <w:rFonts w:ascii="Calibri" w:cs="Calibri" w:eastAsia="Calibri" w:hAnsi="Calibri"/>
          <w:b/>
          <w:bCs/>
          <w:color w:val="1A2420"/>
          <w:sz w:val="21"/>
          <w:szCs w:val="21"/>
        </w:rPr>
        <w:t xml:space="preserve">The one legal fact that locks the launch design: </w:t>
      </w:r>
      <w:r>
        <w:rPr>
          <w:rFonts w:ascii="Calibri" w:cs="Calibri" w:eastAsia="Calibri" w:hAnsi="Calibri"/>
          <w:color w:val="1A2420"/>
          <w:sz w:val="21"/>
          <w:szCs w:val="21"/>
        </w:rPr>
        <w:t xml:space="preserve">under Health &amp; Safety Code §1206(h), only an already-licensed community or free clinic can sponsor a license-exempt “intermittent” site (under 40 hrs/week). A new charity cannot self-sponsor one. So for 2027, you do not build a clinic — you bring a psychiatric service into an existing licensed free clinic (Lestonnac runs four Inland Empire sites; SAC Health and CVVIM are alternates), while your new nonprofit forms in parallel, raises money under a fiscal sponsor, and runs the benefits-navigation program that keeps patients covered in the first place.</w:t>
      </w:r>
    </w:p>
    <w:p>
      <w:pPr>
        <w:spacing w:after="120" w:before="0" w:line="264"/>
      </w:pPr>
      <w:r>
        <w:rPr>
          <w:rFonts w:ascii="Calibri" w:cs="Calibri" w:eastAsia="Calibri" w:hAnsi="Calibri"/>
          <w:b/>
          <w:bCs/>
          <w:color w:val="1A2420"/>
          <w:sz w:val="21"/>
          <w:szCs w:val="21"/>
        </w:rPr>
        <w:t xml:space="preserve">Recommendation (confidence: high on structure, medium on partner timing): Phase 0 now — fiscal sponsor, CommonSpirit application by Sept 18, navigation service by November 2026. Phase 1 January 2027 — one volunteer clinic day per week inside a licensed partner site. Phase 2 is a 2028+ gate, not a plan: pursue your own CDPH free-clinic license only if demand and funding prove it.</w:t>
      </w:r>
    </w:p>
    <w:p>
      <w:pPr>
        <w:spacing w:after="120" w:before="0" w:line="264"/>
      </w:pPr>
      <w:r>
        <w:rPr>
          <w:rFonts w:ascii="Calibri" w:cs="Calibri" w:eastAsia="Calibri" w:hAnsi="Calibri"/>
          <w:color w:val="1A2420"/>
          <w:sz w:val="21"/>
          <w:szCs w:val="21"/>
        </w:rPr>
        <w:t xml:space="preserve">Three dates this month: IEHP Foundation call before Aug 31 (ask if your fiscal sponsor's budget satisfies the $200K rule). CalCRG Aug 24 — decline, as the study correctly concluded. CommonSpirit/Dignity San Bernardino Sept 18 — the flagship application: $20K–$80K, fiscal agent allowed, mental health and uninsured care are named priorities in the exact service area.</w:t>
      </w:r>
    </w:p>
    <w:p>
      <w:pPr>
        <w:pStyle w:val="Heading1"/>
        <w:spacing w:after="120" w:before="280"/>
      </w:pPr>
      <w:r>
        <w:t xml:space="preserve">2. Verification scorecard</w:t>
      </w:r>
    </w:p>
    <w:p>
      <w:pPr>
        <w:spacing w:after="120" w:before="0" w:line="264"/>
      </w:pPr>
      <w:r>
        <w:rPr>
          <w:rFonts w:ascii="Calibri" w:cs="Calibri" w:eastAsia="Calibri" w:hAnsi="Calibri"/>
          <w:color w:val="1A2420"/>
          <w:sz w:val="21"/>
          <w:szCs w:val="21"/>
        </w:rPr>
        <w:t xml:space="preserve">Method: every dated fact, dollar figure, statute, fee, deadline, and program rule in the board study and workbook was re-checked today against the primary source (DHCS, CHHS open data, Federal Register, Congress.gov, Census, HRSA, CDPH, DIR, IRS, SOS, AG, funder pages). Four parallel research agents; ~300 source fetches. Judgment content (option scores, recommendations) was evaluated for reasonableness, not fact-checked as fact.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1300"/>
        <w:gridCol w:w="1300"/>
        <w:gridCol w:w="1300"/>
        <w:gridCol w:w="2260"/>
      </w:tblGrid>
      <w:tr>
        <w:tc>
          <w:tcPr>
            <w:tcW w:type="dxa" w:w="3200"/>
            <w:tcBorders>
              <w:top w:val="single" w:color="CCCCCC" w:sz="2"/>
              <w:left w:val="single" w:color="CCCCCC" w:sz="2"/>
              <w:bottom w:val="single" w:color="CCCCCC" w:sz="2"/>
              <w:right w:val="single" w:color="CCCCCC" w:sz="2"/>
            </w:tcBorders>
            <w:shd w:fill="123F33" w:val="clear"/>
            <w:tcMar>
              <w:top w:type="dxa" w:w="60"/>
              <w:left w:type="dxa" w:w="80"/>
              <w:bottom w:type="dxa" w:w="60"/>
              <w:right w:type="dxa" w:w="80"/>
            </w:tcMar>
          </w:tcPr>
          <w:p>
            <w:pPr>
              <w:spacing w:after="0" w:line="240"/>
            </w:pPr>
            <w:r>
              <w:rPr>
                <w:rFonts w:ascii="Calibri" w:cs="Calibri" w:eastAsia="Calibri" w:hAnsi="Calibri"/>
                <w:b/>
                <w:bCs/>
                <w:color w:val="FFFFFF"/>
                <w:sz w:val="18"/>
                <w:szCs w:val="18"/>
              </w:rPr>
              <w:t xml:space="preserve">Domain</w:t>
            </w:r>
          </w:p>
        </w:tc>
        <w:tc>
          <w:tcPr>
            <w:tcW w:type="dxa" w:w="1300"/>
            <w:tcBorders>
              <w:top w:val="single" w:color="CCCCCC" w:sz="2"/>
              <w:left w:val="single" w:color="CCCCCC" w:sz="2"/>
              <w:bottom w:val="single" w:color="CCCCCC" w:sz="2"/>
              <w:right w:val="single" w:color="CCCCCC" w:sz="2"/>
            </w:tcBorders>
            <w:shd w:fill="123F33" w:val="clear"/>
            <w:tcMar>
              <w:top w:type="dxa" w:w="60"/>
              <w:left w:type="dxa" w:w="80"/>
              <w:bottom w:type="dxa" w:w="60"/>
              <w:right w:type="dxa" w:w="80"/>
            </w:tcMar>
          </w:tcPr>
          <w:p>
            <w:pPr>
              <w:spacing w:after="0" w:line="240"/>
            </w:pPr>
            <w:r>
              <w:rPr>
                <w:rFonts w:ascii="Calibri" w:cs="Calibri" w:eastAsia="Calibri" w:hAnsi="Calibri"/>
                <w:b/>
                <w:bCs/>
                <w:color w:val="FFFFFF"/>
                <w:sz w:val="18"/>
                <w:szCs w:val="18"/>
              </w:rPr>
              <w:t xml:space="preserve">Checked</w:t>
            </w:r>
          </w:p>
        </w:tc>
        <w:tc>
          <w:tcPr>
            <w:tcW w:type="dxa" w:w="1300"/>
            <w:tcBorders>
              <w:top w:val="single" w:color="CCCCCC" w:sz="2"/>
              <w:left w:val="single" w:color="CCCCCC" w:sz="2"/>
              <w:bottom w:val="single" w:color="CCCCCC" w:sz="2"/>
              <w:right w:val="single" w:color="CCCCCC" w:sz="2"/>
            </w:tcBorders>
            <w:shd w:fill="123F33" w:val="clear"/>
            <w:tcMar>
              <w:top w:type="dxa" w:w="60"/>
              <w:left w:type="dxa" w:w="80"/>
              <w:bottom w:type="dxa" w:w="60"/>
              <w:right w:type="dxa" w:w="80"/>
            </w:tcMar>
          </w:tcPr>
          <w:p>
            <w:pPr>
              <w:spacing w:after="0" w:line="240"/>
            </w:pPr>
            <w:r>
              <w:rPr>
                <w:rFonts w:ascii="Calibri" w:cs="Calibri" w:eastAsia="Calibri" w:hAnsi="Calibri"/>
                <w:b/>
                <w:bCs/>
                <w:color w:val="FFFFFF"/>
                <w:sz w:val="18"/>
                <w:szCs w:val="18"/>
              </w:rPr>
              <w:t xml:space="preserve">Confirmed</w:t>
            </w:r>
          </w:p>
        </w:tc>
        <w:tc>
          <w:tcPr>
            <w:tcW w:type="dxa" w:w="1300"/>
            <w:tcBorders>
              <w:top w:val="single" w:color="CCCCCC" w:sz="2"/>
              <w:left w:val="single" w:color="CCCCCC" w:sz="2"/>
              <w:bottom w:val="single" w:color="CCCCCC" w:sz="2"/>
              <w:right w:val="single" w:color="CCCCCC" w:sz="2"/>
            </w:tcBorders>
            <w:shd w:fill="123F33" w:val="clear"/>
            <w:tcMar>
              <w:top w:type="dxa" w:w="60"/>
              <w:left w:type="dxa" w:w="80"/>
              <w:bottom w:type="dxa" w:w="60"/>
              <w:right w:type="dxa" w:w="80"/>
            </w:tcMar>
          </w:tcPr>
          <w:p>
            <w:pPr>
              <w:spacing w:after="0" w:line="240"/>
            </w:pPr>
            <w:r>
              <w:rPr>
                <w:rFonts w:ascii="Calibri" w:cs="Calibri" w:eastAsia="Calibri" w:hAnsi="Calibri"/>
                <w:b/>
                <w:bCs/>
                <w:color w:val="FFFFFF"/>
                <w:sz w:val="18"/>
                <w:szCs w:val="18"/>
              </w:rPr>
              <w:t xml:space="preserve">Corrected / refined</w:t>
            </w:r>
          </w:p>
        </w:tc>
        <w:tc>
          <w:tcPr>
            <w:tcW w:type="dxa" w:w="2260"/>
            <w:tcBorders>
              <w:top w:val="single" w:color="CCCCCC" w:sz="2"/>
              <w:left w:val="single" w:color="CCCCCC" w:sz="2"/>
              <w:bottom w:val="single" w:color="CCCCCC" w:sz="2"/>
              <w:right w:val="single" w:color="CCCCCC" w:sz="2"/>
            </w:tcBorders>
            <w:shd w:fill="123F33" w:val="clear"/>
            <w:tcMar>
              <w:top w:type="dxa" w:w="60"/>
              <w:left w:type="dxa" w:w="80"/>
              <w:bottom w:type="dxa" w:w="60"/>
              <w:right w:type="dxa" w:w="80"/>
            </w:tcMar>
          </w:tcPr>
          <w:p>
            <w:pPr>
              <w:spacing w:after="0" w:line="240"/>
            </w:pPr>
            <w:r>
              <w:rPr>
                <w:rFonts w:ascii="Calibri" w:cs="Calibri" w:eastAsia="Calibri" w:hAnsi="Calibri"/>
                <w:b/>
                <w:bCs/>
                <w:color w:val="FFFFFF"/>
                <w:sz w:val="18"/>
                <w:szCs w:val="18"/>
              </w:rPr>
              <w:t xml:space="preserve">Notes</w:t>
            </w:r>
          </w:p>
        </w:tc>
      </w:tr>
      <w:tr>
        <w:tc>
          <w:tcPr>
            <w:tcW w:type="dxa" w:w="32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Medi-Cal / coverage policy (H.R.1, DHCS, Covered CA)</w:t>
            </w:r>
          </w:p>
        </w:tc>
        <w:tc>
          <w:tcPr>
            <w:tcW w:type="dxa" w:w="1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17</w:t>
            </w:r>
          </w:p>
        </w:tc>
        <w:tc>
          <w:tcPr>
            <w:tcW w:type="dxa" w:w="1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13</w:t>
            </w:r>
          </w:p>
        </w:tc>
        <w:tc>
          <w:tcPr>
            <w:tcW w:type="dxa" w:w="1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4</w:t>
            </w:r>
          </w:p>
        </w:tc>
        <w:tc>
          <w:tcPr>
            <w:tcW w:type="dxa" w:w="22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No fabrications; one wrong digit, one mislabel, two number re-anchors</w:t>
            </w:r>
          </w:p>
        </w:tc>
      </w:tr>
      <w:tr>
        <w:tc>
          <w:tcPr>
            <w:tcW w:type="dxa" w:w="32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Legal / regulatory / fees (CDPH, CPOM, FTCA, AB 890, SB 525)</w:t>
            </w:r>
          </w:p>
        </w:tc>
        <w:tc>
          <w:tcPr>
            <w:tcW w:type="dxa" w:w="1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12</w:t>
            </w:r>
          </w:p>
        </w:tc>
        <w:tc>
          <w:tcPr>
            <w:tcW w:type="dxa" w:w="1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10</w:t>
            </w:r>
          </w:p>
        </w:tc>
        <w:tc>
          <w:tcPr>
            <w:tcW w:type="dxa" w:w="1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2</w:t>
            </w:r>
          </w:p>
        </w:tc>
        <w:tc>
          <w:tcPr>
            <w:tcW w:type="dxa" w:w="22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AB 890 sequencing; SB 525 category labels</w:t>
            </w:r>
          </w:p>
        </w:tc>
      </w:tr>
      <w:tr>
        <w:tc>
          <w:tcPr>
            <w:tcW w:type="dxa" w:w="32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Grant database rows</w:t>
            </w:r>
          </w:p>
        </w:tc>
        <w:tc>
          <w:tcPr>
            <w:tcW w:type="dxa" w:w="1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23</w:t>
            </w:r>
          </w:p>
        </w:tc>
        <w:tc>
          <w:tcPr>
            <w:tcW w:type="dxa" w:w="1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19</w:t>
            </w:r>
          </w:p>
        </w:tc>
        <w:tc>
          <w:tcPr>
            <w:tcW w:type="dxa" w:w="1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4</w:t>
            </w:r>
          </w:p>
        </w:tc>
        <w:tc>
          <w:tcPr>
            <w:tcW w:type="dxa" w:w="22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Two rows overstated barriers; two unverifiable details</w:t>
            </w:r>
          </w:p>
        </w:tc>
      </w:tr>
      <w:tr>
        <w:tc>
          <w:tcPr>
            <w:tcW w:type="dxa" w:w="32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Workbook arithmetic</w:t>
            </w:r>
          </w:p>
        </w:tc>
        <w:tc>
          <w:tcPr>
            <w:tcW w:type="dxa" w:w="1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83 formulas</w:t>
            </w:r>
          </w:p>
        </w:tc>
        <w:tc>
          <w:tcPr>
            <w:tcW w:type="dxa" w:w="1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83</w:t>
            </w:r>
          </w:p>
        </w:tc>
        <w:tc>
          <w:tcPr>
            <w:tcW w:type="dxa" w:w="1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0</w:t>
            </w:r>
          </w:p>
        </w:tc>
        <w:tc>
          <w:tcPr>
            <w:tcW w:type="dxa" w:w="22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All totals reproduce; the issue is scope, not math</w:t>
            </w:r>
          </w:p>
        </w:tc>
      </w:tr>
    </w:tbl>
    <w:p>
      <w:pPr>
        <w:spacing w:after="120" w:before="120" w:line="264"/>
      </w:pPr>
      <w:r>
        <w:rPr>
          <w:rFonts w:ascii="Calibri" w:cs="Calibri" w:eastAsia="Calibri" w:hAnsi="Calibri"/>
          <w:b/>
          <w:bCs/>
          <w:color w:val="1A2420"/>
          <w:sz w:val="21"/>
          <w:szCs w:val="21"/>
        </w:rPr>
        <w:t xml:space="preserve">Bottom line: trust this research's facts. Re-anchor its strategy.</w:t>
      </w:r>
    </w:p>
    <w:p>
      <w:pPr>
        <w:pStyle w:val="Heading1"/>
        <w:spacing w:after="120" w:before="280"/>
      </w:pPr>
      <w:r>
        <w:t xml:space="preserve">3. Corrections that matter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300"/>
        <w:gridCol w:w="3460"/>
      </w:tblGrid>
      <w:tr>
        <w:tc>
          <w:tcPr>
            <w:tcW w:type="dxa" w:w="2600"/>
            <w:tcBorders>
              <w:top w:val="single" w:color="CCCCCC" w:sz="2"/>
              <w:left w:val="single" w:color="CCCCCC" w:sz="2"/>
              <w:bottom w:val="single" w:color="CCCCCC" w:sz="2"/>
              <w:right w:val="single" w:color="CCCCCC" w:sz="2"/>
            </w:tcBorders>
            <w:shd w:fill="123F33" w:val="clear"/>
            <w:tcMar>
              <w:top w:type="dxa" w:w="60"/>
              <w:left w:type="dxa" w:w="80"/>
              <w:bottom w:type="dxa" w:w="60"/>
              <w:right w:type="dxa" w:w="80"/>
            </w:tcMar>
          </w:tcPr>
          <w:p>
            <w:pPr>
              <w:spacing w:after="0" w:line="240"/>
            </w:pPr>
            <w:r>
              <w:rPr>
                <w:rFonts w:ascii="Calibri" w:cs="Calibri" w:eastAsia="Calibri" w:hAnsi="Calibri"/>
                <w:b/>
                <w:bCs/>
                <w:color w:val="FFFFFF"/>
                <w:sz w:val="18"/>
                <w:szCs w:val="18"/>
              </w:rPr>
              <w:t xml:space="preserve">Study said</w:t>
            </w:r>
          </w:p>
        </w:tc>
        <w:tc>
          <w:tcPr>
            <w:tcW w:type="dxa" w:w="3300"/>
            <w:tcBorders>
              <w:top w:val="single" w:color="CCCCCC" w:sz="2"/>
              <w:left w:val="single" w:color="CCCCCC" w:sz="2"/>
              <w:bottom w:val="single" w:color="CCCCCC" w:sz="2"/>
              <w:right w:val="single" w:color="CCCCCC" w:sz="2"/>
            </w:tcBorders>
            <w:shd w:fill="123F33" w:val="clear"/>
            <w:tcMar>
              <w:top w:type="dxa" w:w="60"/>
              <w:left w:type="dxa" w:w="80"/>
              <w:bottom w:type="dxa" w:w="60"/>
              <w:right w:type="dxa" w:w="80"/>
            </w:tcMar>
          </w:tcPr>
          <w:p>
            <w:pPr>
              <w:spacing w:after="0" w:line="240"/>
            </w:pPr>
            <w:r>
              <w:rPr>
                <w:rFonts w:ascii="Calibri" w:cs="Calibri" w:eastAsia="Calibri" w:hAnsi="Calibri"/>
                <w:b/>
                <w:bCs/>
                <w:color w:val="FFFFFF"/>
                <w:sz w:val="18"/>
                <w:szCs w:val="18"/>
              </w:rPr>
              <w:t xml:space="preserve">Verified reality (source)</w:t>
            </w:r>
          </w:p>
        </w:tc>
        <w:tc>
          <w:tcPr>
            <w:tcW w:type="dxa" w:w="3460"/>
            <w:tcBorders>
              <w:top w:val="single" w:color="CCCCCC" w:sz="2"/>
              <w:left w:val="single" w:color="CCCCCC" w:sz="2"/>
              <w:bottom w:val="single" w:color="CCCCCC" w:sz="2"/>
              <w:right w:val="single" w:color="CCCCCC" w:sz="2"/>
            </w:tcBorders>
            <w:shd w:fill="123F33" w:val="clear"/>
            <w:tcMar>
              <w:top w:type="dxa" w:w="60"/>
              <w:left w:type="dxa" w:w="80"/>
              <w:bottom w:type="dxa" w:w="60"/>
              <w:right w:type="dxa" w:w="80"/>
            </w:tcMar>
          </w:tcPr>
          <w:p>
            <w:pPr>
              <w:spacing w:after="0" w:line="240"/>
            </w:pPr>
            <w:r>
              <w:rPr>
                <w:rFonts w:ascii="Calibri" w:cs="Calibri" w:eastAsia="Calibri" w:hAnsi="Calibri"/>
                <w:b/>
                <w:bCs/>
                <w:color w:val="FFFFFF"/>
                <w:sz w:val="18"/>
                <w:szCs w:val="18"/>
              </w:rPr>
              <w:t xml:space="preserve">So what</w:t>
            </w:r>
          </w:p>
        </w:tc>
      </w:tr>
      <w:tr>
        <w:tc>
          <w:tcPr>
            <w:tcW w:type="dxa" w:w="26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DHCS projection implies ~1.8M statewide coverage losses; local range 69.9K–145.5K, base 116.4K</w:t>
            </w:r>
          </w:p>
        </w:tc>
        <w:tc>
          <w:tcPr>
            <w:tcW w:type="dxa" w:w="3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DHCS Jan 2026: “about 2 million at risk.” DHCS projections since: 1.1M (work rule, May) to 1.3M (work rule + 6-month checks, Aug). UC Berkeley/UCLA: 2.98M fewer enrolled by 2028 including state changes</w:t>
            </w:r>
          </w:p>
        </w:tc>
        <w:tc>
          <w:tcPr>
            <w:tcW w:type="dxa" w:w="34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Local BASE case (~116K over 36 months) holds up. The LOW case is optimistic. Plan to base</w:t>
            </w:r>
          </w:p>
        </w:tc>
      </w:tr>
      <w:tr>
        <w:tc>
          <w:tcPr>
            <w:tcW w:type="dxa" w:w="26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San Bernardino under-65 uninsured 8.1%</w:t>
            </w:r>
          </w:p>
        </w:tc>
        <w:tc>
          <w:tcPr>
            <w:tcW w:type="dxa" w:w="3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8.8% (Census QuickFacts V2025); Riverside 8.0% correct</w:t>
            </w:r>
          </w:p>
        </w:tc>
        <w:tc>
          <w:tcPr>
            <w:tcW w:type="dxa" w:w="34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Need case slightly stronger</w:t>
            </w:r>
          </w:p>
        </w:tc>
      </w:tr>
      <w:tr>
        <w:tc>
          <w:tcPr>
            <w:tcW w:type="dxa" w:w="26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“Other covered facilities may have a $23 schedule” (health-care minimum wage)</w:t>
            </w:r>
          </w:p>
        </w:tc>
        <w:tc>
          <w:tcPr>
            <w:tcW w:type="dxa" w:w="3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$23→$24→$25 ladder is large systems (10,000+ FTE) and dialysis — already $25 since 7/1/26. Community clinics: $22 now, $25 from 7/1/27 (study had the clinic schedule right)</w:t>
            </w:r>
          </w:p>
        </w:tc>
        <w:tc>
          <w:tcPr>
            <w:tcW w:type="dxa" w:w="34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Labels only. True volunteers unaffected; your paid navigator prices above the floor anyway</w:t>
            </w:r>
          </w:p>
        </w:tc>
      </w:tr>
      <w:tr>
        <w:tc>
          <w:tcPr>
            <w:tcW w:type="dxa" w:w="26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Retroactive coverage: one month for “childless” New Adult members</w:t>
            </w:r>
          </w:p>
        </w:tc>
        <w:tc>
          <w:tcPr>
            <w:tcW w:type="dxa" w:w="3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Applies to the ACA expansion group generally (DHCS fact sheet)</w:t>
            </w:r>
          </w:p>
        </w:tc>
        <w:tc>
          <w:tcPr>
            <w:tcW w:type="dxa" w:w="34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Wording in patient materials</w:t>
            </w:r>
          </w:p>
        </w:tc>
      </w:tr>
      <w:tr>
        <w:tc>
          <w:tcPr>
            <w:tcW w:type="dxa" w:w="26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Exemptions include “parents/caregivers”</w:t>
            </w:r>
          </w:p>
        </w:tc>
        <w:tc>
          <w:tcPr>
            <w:tcW w:type="dxa" w:w="3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Parents/caretakers of a child 13 or under, or of a disabled individual; CMS added veterans with total disability</w:t>
            </w:r>
          </w:p>
        </w:tc>
        <w:tc>
          <w:tcPr>
            <w:tcW w:type="dxa" w:w="34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Navigator screening scripts need the precise cutoff — a parent of a 15-year-old is NOT exempt</w:t>
            </w:r>
          </w:p>
        </w:tc>
      </w:tr>
      <w:tr>
        <w:tc>
          <w:tcPr>
            <w:tcW w:type="dxa" w:w="26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Elevance BH RFP excludes direct clinical care in clinical settings</w:t>
            </w:r>
          </w:p>
        </w:tc>
        <w:tc>
          <w:tcPr>
            <w:tcW w:type="dxa" w:w="3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No such exclusion appears in the official RFP</w:t>
            </w:r>
          </w:p>
        </w:tc>
        <w:tc>
          <w:tcPr>
            <w:tcW w:type="dxa" w:w="34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Barrier removed — apply in the Jan 1–31, 2027 window</w:t>
            </w:r>
          </w:p>
        </w:tc>
      </w:tr>
      <w:tr>
        <w:tc>
          <w:tcPr>
            <w:tcW w:type="dxa" w:w="26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CalCRG possible via fiscal sponsor</w:t>
            </w:r>
          </w:p>
        </w:tc>
        <w:tc>
          <w:tcPr>
            <w:tcW w:type="dxa" w:w="3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Applicant itself needs 6+ months existence and its own exempt status</w:t>
            </w:r>
          </w:p>
        </w:tc>
        <w:tc>
          <w:tcPr>
            <w:tcW w:type="dxa" w:w="34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Study's own no-go was right; its database row oversold the workaround</w:t>
            </w:r>
          </w:p>
        </w:tc>
      </w:tr>
      <w:tr>
        <w:tc>
          <w:tcPr>
            <w:tcW w:type="dxa" w:w="26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16 CCR §1340 “current text” (charitable employment of physicians)</w:t>
            </w:r>
          </w:p>
        </w:tc>
        <w:tc>
          <w:tcPr>
            <w:tcW w:type="dxa" w:w="3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Text accurate — and stable since a 1980 amendment, which strengthens reliance on it</w:t>
            </w:r>
          </w:p>
        </w:tc>
        <w:tc>
          <w:tcPr>
            <w:tcW w:type="dxa" w:w="34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Good news, framed better</w:t>
            </w:r>
          </w:p>
        </w:tc>
      </w:tr>
      <w:tr>
        <w:tc>
          <w:tcPr>
            <w:tcW w:type="dxa" w:w="26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AB 890: 104 NP after “3 years / 4600 hours” as 103</w:t>
            </w:r>
          </w:p>
        </w:tc>
        <w:tc>
          <w:tcPr>
            <w:tcW w:type="dxa" w:w="3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104 requires the 4,600-hr transition-to-practice PLUS three further years in good standing (BRN)</w:t>
            </w:r>
          </w:p>
        </w:tc>
        <w:tc>
          <w:tcPr>
            <w:tcW w:type="dxa" w:w="34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Sets realistic timelines for NP volunteers' independent-practice status</w:t>
            </w:r>
          </w:p>
        </w:tc>
      </w:tr>
      <w:tr>
        <w:tc>
          <w:tcPr>
            <w:tcW w:type="dxa" w:w="26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FTCA deeming: “only approved individuals” (volunteers implied)</w:t>
            </w:r>
          </w:p>
        </w:tc>
        <w:tc>
          <w:tcPr>
            <w:tcW w:type="dxa" w:w="3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Volunteers AND officers, board members, employees, contractors of a qualifying free clinic are deemable. Entity never covered. No third-party reimbursement, ever. Prospective only</w:t>
            </w:r>
          </w:p>
        </w:tc>
        <w:tc>
          <w:tcPr>
            <w:tcW w:type="dxa" w:w="34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Your paid navigator model stays FTCA-compatible. Note: stipends over $500/yr break Volunteer Protection Act status — rely on FTCA + a gap policy instead</w:t>
            </w:r>
          </w:p>
        </w:tc>
      </w:tr>
      <w:tr>
        <w:tc>
          <w:tcPr>
            <w:tcW w:type="dxa" w:w="26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CDPH licensure required unless an exemption applies (intermittent details thin)</w:t>
            </w:r>
          </w:p>
        </w:tc>
        <w:tc>
          <w:tcPr>
            <w:tcW w:type="dxa" w:w="3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§1206(h): only an already-licensed primary care community/free clinic can sponsor an intermittent (&lt;40 hr/wk) site</w:t>
            </w:r>
          </w:p>
        </w:tc>
        <w:tc>
          <w:tcPr>
            <w:tcW w:type="dxa" w:w="34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THE strategic fact. Partner-host in 2027; own license is a later gate</w:t>
            </w:r>
          </w:p>
        </w:tc>
      </w:tr>
    </w:tbl>
    <w:p>
      <w:pPr>
        <w:pStyle w:val="Heading1"/>
        <w:spacing w:after="120" w:before="280"/>
      </w:pPr>
      <w:r>
        <w:t xml:space="preserve">4. What held up (spot checks)</w:t>
      </w:r>
    </w:p>
    <w:p>
      <w:pPr>
        <w:pStyle w:val="ListParagraph"/>
        <w:numPr>
          <w:ilvl w:val="0"/>
          <w:numId w:val="2"/>
        </w:numPr>
        <w:spacing w:after="60" w:line="264"/>
      </w:pPr>
      <w:r>
        <w:rPr>
          <w:rFonts w:ascii="Calibri" w:cs="Calibri" w:eastAsia="Calibri" w:hAnsi="Calibri"/>
          <w:color w:val="1A2420"/>
          <w:sz w:val="21"/>
          <w:szCs w:val="21"/>
        </w:rPr>
        <w:t xml:space="preserve">Enrollment: 1,794,363 Medi-Cal members in Riverside (901,279) + San Bernardino (893,084), including 493,340 ACA expansion adults — matches CHHS open data to the digit (June 2026 preliminary).</w:t>
      </w:r>
    </w:p>
    <w:p>
      <w:pPr>
        <w:pStyle w:val="ListParagraph"/>
        <w:numPr>
          <w:ilvl w:val="0"/>
          <w:numId w:val="2"/>
        </w:numPr>
        <w:spacing w:after="60" w:line="264"/>
      </w:pPr>
      <w:r>
        <w:rPr>
          <w:rFonts w:ascii="Calibri" w:cs="Calibri" w:eastAsia="Calibri" w:hAnsi="Calibri"/>
          <w:color w:val="1A2420"/>
          <w:sz w:val="21"/>
          <w:szCs w:val="21"/>
        </w:rPr>
        <w:t xml:space="preserve">Work rules: P.L. 119-21 §71119; CMS interim final rule effective July 31, 2026; California implements Jan 1, 2027; $580/month or 80 hrs/month or half-time school; the 25-state lawsuit did NOT win an injunction (denied July 30, 2026) — the rule stands.</w:t>
      </w:r>
    </w:p>
    <w:p>
      <w:pPr>
        <w:pStyle w:val="ListParagraph"/>
        <w:numPr>
          <w:ilvl w:val="0"/>
          <w:numId w:val="2"/>
        </w:numPr>
        <w:spacing w:after="60" w:line="264"/>
      </w:pPr>
      <w:r>
        <w:rPr>
          <w:rFonts w:ascii="Calibri" w:cs="Calibri" w:eastAsia="Calibri" w:hAnsi="Calibri"/>
          <w:color w:val="1A2420"/>
          <w:sz w:val="21"/>
          <w:szCs w:val="21"/>
        </w:rPr>
        <w:t xml:space="preserve">The subsidy trap is real and statutory: someone dropped solely for work-rule noncompliance is deemed eligible for Medicaid MEC and barred from marketplace subsidies. A full-price plan is not a rescue. This makes the navigator role the highest-value function in the whole design — confirmed exactly as the study argued.</w:t>
      </w:r>
    </w:p>
    <w:p>
      <w:pPr>
        <w:pStyle w:val="ListParagraph"/>
        <w:numPr>
          <w:ilvl w:val="0"/>
          <w:numId w:val="2"/>
        </w:numPr>
        <w:spacing w:after="60" w:line="264"/>
      </w:pPr>
      <w:r>
        <w:rPr>
          <w:rFonts w:ascii="Calibri" w:cs="Calibri" w:eastAsia="Calibri" w:hAnsi="Calibri"/>
          <w:color w:val="1A2420"/>
          <w:sz w:val="21"/>
          <w:szCs w:val="21"/>
        </w:rPr>
        <w:t xml:space="preserve">Timing: Jan 1, 2027 is a compliance-start date, not a mass termination date. First losses plausibly land Feb–Mar 2027 (renewal-driven, with 10-day notice and a 90-day cure window); bigger waves follow as six-month checks cycle. Your launch calendar fits the threat calendar.</w:t>
      </w:r>
    </w:p>
    <w:p>
      <w:pPr>
        <w:pStyle w:val="ListParagraph"/>
        <w:numPr>
          <w:ilvl w:val="0"/>
          <w:numId w:val="2"/>
        </w:numPr>
        <w:spacing w:after="60" w:line="264"/>
      </w:pPr>
      <w:r>
        <w:rPr>
          <w:rFonts w:ascii="Calibri" w:cs="Calibri" w:eastAsia="Calibri" w:hAnsi="Calibri"/>
          <w:color w:val="1A2420"/>
          <w:sz w:val="21"/>
          <w:szCs w:val="21"/>
        </w:rPr>
        <w:t xml:space="preserve">Immigrant changes: managed-care→FFS transition Jan 1, 2027 (coverage continues, networks change — an IPMG-panel disruption in itself); restricted scope for certain humanitarian statuses and the $30/month premium July 1, 2027; enrollment freeze for new sign-ups since Jan 1, 2026. All confirmed on DHCS pages.</w:t>
      </w:r>
    </w:p>
    <w:p>
      <w:pPr>
        <w:pStyle w:val="ListParagraph"/>
        <w:numPr>
          <w:ilvl w:val="0"/>
          <w:numId w:val="2"/>
        </w:numPr>
        <w:spacing w:after="60" w:line="264"/>
      </w:pPr>
      <w:r>
        <w:rPr>
          <w:rFonts w:ascii="Calibri" w:cs="Calibri" w:eastAsia="Calibri" w:hAnsi="Calibri"/>
          <w:color w:val="1A2420"/>
          <w:sz w:val="21"/>
          <w:szCs w:val="21"/>
        </w:rPr>
        <w:t xml:space="preserve">Covered California 2027: Region 17 +9.8% proposed average, IEHP +5.6%, 167,180 regional enrollees — confirmed in the July 21, 2026 rate release.</w:t>
      </w:r>
    </w:p>
    <w:p>
      <w:pPr>
        <w:pStyle w:val="ListParagraph"/>
        <w:numPr>
          <w:ilvl w:val="0"/>
          <w:numId w:val="2"/>
        </w:numPr>
        <w:spacing w:after="60" w:line="264"/>
      </w:pPr>
      <w:r>
        <w:rPr>
          <w:rFonts w:ascii="Calibri" w:cs="Calibri" w:eastAsia="Calibri" w:hAnsi="Calibri"/>
          <w:color w:val="1A2420"/>
          <w:sz w:val="21"/>
          <w:szCs w:val="21"/>
        </w:rPr>
        <w:t xml:space="preserve">IEHP scale (new figure): 1,420,789 members June 2026, ~1.35M Medi-Cal, over 90% of the IE Medi-Cal managed-care market — your 50%+ payer exposure estimate is consistent with the region.</w:t>
      </w:r>
    </w:p>
    <w:p>
      <w:pPr>
        <w:pStyle w:val="ListParagraph"/>
        <w:numPr>
          <w:ilvl w:val="0"/>
          <w:numId w:val="2"/>
        </w:numPr>
        <w:spacing w:after="60" w:line="264"/>
      </w:pPr>
      <w:r>
        <w:rPr>
          <w:rFonts w:ascii="Calibri" w:cs="Calibri" w:eastAsia="Calibri" w:hAnsi="Calibri"/>
          <w:color w:val="1A2420"/>
          <w:sz w:val="21"/>
          <w:szCs w:val="21"/>
        </w:rPr>
        <w:t xml:space="preserve">All formation fees, the $1,646 CDPH fee, the $620 pharmacy clinic permit, the $2M audit threshold, the FDA benzodiazepine warning, and the DEA telemedicine extension through Dec 31, 2026 — confirmed.</w:t>
      </w:r>
    </w:p>
    <w:p>
      <w:pPr>
        <w:pStyle w:val="Heading1"/>
        <w:spacing w:after="120" w:before="280"/>
      </w:pPr>
      <w:r>
        <w:t xml:space="preserve">5. The strategic gap: paid-staff math vs. the volunteer sector</w:t>
      </w:r>
    </w:p>
    <w:p>
      <w:pPr>
        <w:spacing w:after="120" w:before="0" w:line="264"/>
      </w:pPr>
      <w:r>
        <w:rPr>
          <w:rFonts w:ascii="Calibri" w:cs="Calibri" w:eastAsia="Calibri" w:hAnsi="Calibri"/>
          <w:color w:val="1A2420"/>
          <w:sz w:val="21"/>
          <w:szCs w:val="21"/>
        </w:rPr>
        <w:t xml:space="preserve">The study prices a professionally staffed program: $925K of loaded Year-1 labor in its lean case, $85K of insurance, $85K of occupancy, $70K of technology. Then it (correctly) concludes such a program cannot open on your capital. What it never prices is the model that actually dominates American charitable care: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2900"/>
        <w:gridCol w:w="3060"/>
      </w:tblGrid>
      <w:tr>
        <w:tc>
          <w:tcPr>
            <w:tcW w:type="dxa" w:w="3400"/>
            <w:tcBorders>
              <w:top w:val="single" w:color="CCCCCC" w:sz="2"/>
              <w:left w:val="single" w:color="CCCCCC" w:sz="2"/>
              <w:bottom w:val="single" w:color="CCCCCC" w:sz="2"/>
              <w:right w:val="single" w:color="CCCCCC" w:sz="2"/>
            </w:tcBorders>
            <w:shd w:fill="123F33" w:val="clear"/>
            <w:tcMar>
              <w:top w:type="dxa" w:w="60"/>
              <w:left w:type="dxa" w:w="80"/>
              <w:bottom w:type="dxa" w:w="60"/>
              <w:right w:type="dxa" w:w="80"/>
            </w:tcMar>
          </w:tcPr>
          <w:p>
            <w:pPr>
              <w:spacing w:after="0" w:line="240"/>
            </w:pPr>
            <w:r>
              <w:rPr>
                <w:rFonts w:ascii="Calibri" w:cs="Calibri" w:eastAsia="Calibri" w:hAnsi="Calibri"/>
                <w:b/>
                <w:bCs/>
                <w:color w:val="FFFFFF"/>
                <w:sz w:val="18"/>
                <w:szCs w:val="18"/>
              </w:rPr>
              <w:t xml:space="preserve">Line</w:t>
            </w:r>
          </w:p>
        </w:tc>
        <w:tc>
          <w:tcPr>
            <w:tcW w:type="dxa" w:w="2900"/>
            <w:tcBorders>
              <w:top w:val="single" w:color="CCCCCC" w:sz="2"/>
              <w:left w:val="single" w:color="CCCCCC" w:sz="2"/>
              <w:bottom w:val="single" w:color="CCCCCC" w:sz="2"/>
              <w:right w:val="single" w:color="CCCCCC" w:sz="2"/>
            </w:tcBorders>
            <w:shd w:fill="123F33" w:val="clear"/>
            <w:tcMar>
              <w:top w:type="dxa" w:w="60"/>
              <w:left w:type="dxa" w:w="80"/>
              <w:bottom w:type="dxa" w:w="60"/>
              <w:right w:type="dxa" w:w="80"/>
            </w:tcMar>
          </w:tcPr>
          <w:p>
            <w:pPr>
              <w:spacing w:after="0" w:line="240"/>
            </w:pPr>
            <w:r>
              <w:rPr>
                <w:rFonts w:ascii="Calibri" w:cs="Calibri" w:eastAsia="Calibri" w:hAnsi="Calibri"/>
                <w:b/>
                <w:bCs/>
                <w:color w:val="FFFFFF"/>
                <w:sz w:val="18"/>
                <w:szCs w:val="18"/>
              </w:rPr>
              <w:t xml:space="preserve">Study “Lean” (fully paid)</w:t>
            </w:r>
          </w:p>
        </w:tc>
        <w:tc>
          <w:tcPr>
            <w:tcW w:type="dxa" w:w="3060"/>
            <w:tcBorders>
              <w:top w:val="single" w:color="CCCCCC" w:sz="2"/>
              <w:left w:val="single" w:color="CCCCCC" w:sz="2"/>
              <w:bottom w:val="single" w:color="CCCCCC" w:sz="2"/>
              <w:right w:val="single" w:color="CCCCCC" w:sz="2"/>
            </w:tcBorders>
            <w:shd w:fill="123F33" w:val="clear"/>
            <w:tcMar>
              <w:top w:type="dxa" w:w="60"/>
              <w:left w:type="dxa" w:w="80"/>
              <w:bottom w:type="dxa" w:w="60"/>
              <w:right w:type="dxa" w:w="80"/>
            </w:tcMar>
          </w:tcPr>
          <w:p>
            <w:pPr>
              <w:spacing w:after="0" w:line="240"/>
            </w:pPr>
            <w:r>
              <w:rPr>
                <w:rFonts w:ascii="Calibri" w:cs="Calibri" w:eastAsia="Calibri" w:hAnsi="Calibri"/>
                <w:b/>
                <w:bCs/>
                <w:color w:val="FFFFFF"/>
                <w:sz w:val="18"/>
                <w:szCs w:val="18"/>
              </w:rPr>
              <w:t xml:space="preserve">Volunteer Lean Launch (v2 model)</w:t>
            </w:r>
          </w:p>
        </w:tc>
      </w:tr>
      <w:tr>
        <w:tc>
          <w:tcPr>
            <w:tcW w:type="dxa" w:w="34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Clinical labor</w:t>
            </w:r>
          </w:p>
        </w:tc>
        <w:tc>
          <w:tcPr>
            <w:tcW w:type="dxa" w:w="29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$925,088 (13 paid roles)</w:t>
            </w:r>
          </w:p>
        </w:tc>
        <w:tc>
          <w:tcPr>
            <w:tcW w:type="dxa" w:w="30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$0 cash — volunteer prescribers (you + IPMG-network colleagues); one PAID 0.45 FTE benefits navigator: $37,170</w:t>
            </w:r>
          </w:p>
        </w:tc>
      </w:tr>
      <w:tr>
        <w:tc>
          <w:tcPr>
            <w:tcW w:type="dxa" w:w="34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Insurance</w:t>
            </w:r>
          </w:p>
        </w:tc>
        <w:tc>
          <w:tcPr>
            <w:tcW w:type="dxa" w:w="29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$85,000</w:t>
            </w:r>
          </w:p>
        </w:tc>
        <w:tc>
          <w:tcPr>
            <w:tcW w:type="dxa" w:w="30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~$7,000 gap/GL now; FTCA free-clinic deeming (verified) drives deemed clinicians' malpractice to $0 after approval</w:t>
            </w:r>
          </w:p>
        </w:tc>
      </w:tr>
      <w:tr>
        <w:tc>
          <w:tcPr>
            <w:tcW w:type="dxa" w:w="34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Occupancy</w:t>
            </w:r>
          </w:p>
        </w:tc>
        <w:tc>
          <w:tcPr>
            <w:tcW w:type="dxa" w:w="29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$85,000</w:t>
            </w:r>
          </w:p>
        </w:tc>
        <w:tc>
          <w:tcPr>
            <w:tcW w:type="dxa" w:w="30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Donated church/partner space; ~$3,600 utilities share (Riverside Free Clinic precedent: 21 years church-hosted)</w:t>
            </w:r>
          </w:p>
        </w:tc>
      </w:tr>
      <w:tr>
        <w:tc>
          <w:tcPr>
            <w:tcW w:type="dxa" w:w="34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Technology / EHR</w:t>
            </w:r>
          </w:p>
        </w:tc>
        <w:tc>
          <w:tcPr>
            <w:tcW w:type="dxa" w:w="29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$70,000</w:t>
            </w:r>
          </w:p>
        </w:tc>
        <w:tc>
          <w:tcPr>
            <w:tcW w:type="dxa" w:w="30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athenaGives donates the full EHR to no-billing free clinics (verified active); ~$3,000 for the rest</w:t>
            </w:r>
          </w:p>
        </w:tc>
      </w:tr>
      <w:tr>
        <w:tc>
          <w:tcPr>
            <w:tcW w:type="dxa" w:w="34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Meds &amp; labs</w:t>
            </w:r>
          </w:p>
        </w:tc>
        <w:tc>
          <w:tcPr>
            <w:tcW w:type="dxa" w:w="29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$120,000</w:t>
            </w:r>
          </w:p>
        </w:tc>
        <w:tc>
          <w:tcPr>
            <w:tcW w:type="dxa" w:w="30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$15,000 capped fund + PAPs for brands + $4–15/month generics (Cost Plus, verified) + Direct Relief/Americares donations</w:t>
            </w:r>
          </w:p>
        </w:tc>
      </w:tr>
      <w:tr>
        <w:tc>
          <w:tcPr>
            <w:tcW w:type="dxa" w:w="34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Admin / professional</w:t>
            </w:r>
          </w:p>
        </w:tc>
        <w:tc>
          <w:tcPr>
            <w:tcW w:type="dxa" w:w="29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$145,000 + $60K evaluation</w:t>
            </w:r>
          </w:p>
        </w:tc>
        <w:tc>
          <w:tcPr>
            <w:tcW w:type="dxa" w:w="30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Fiscal sponsor back office at 8% (~$6,600) + $7,000 scoped legal + $1,500 bookkeeping</w:t>
            </w:r>
          </w:p>
        </w:tc>
      </w:tr>
      <w:tr>
        <w:tc>
          <w:tcPr>
            <w:tcW w:type="dxa" w:w="34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Year-1 total</w:t>
            </w:r>
          </w:p>
        </w:tc>
        <w:tc>
          <w:tcPr>
            <w:tcW w:type="dxa" w:w="29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$1,637,888 (launch capital $3.08M)</w:t>
            </w:r>
          </w:p>
        </w:tc>
        <w:tc>
          <w:tcPr>
            <w:tcW w:type="dxa" w:w="30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$98,568 base (floor $69K / comfort $129K); fundraising target with 3-month reserve: $123K</w:t>
            </w:r>
          </w:p>
        </w:tc>
      </w:tr>
      <w:tr>
        <w:tc>
          <w:tcPr>
            <w:tcW w:type="dxa" w:w="34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Output</w:t>
            </w:r>
          </w:p>
        </w:tc>
        <w:tc>
          <w:tcPr>
            <w:tcW w:type="dxa" w:w="29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2,626 visits / 404 patients / $624 per visit</w:t>
            </w:r>
          </w:p>
        </w:tc>
        <w:tc>
          <w:tcPr>
            <w:tcW w:type="dxa" w:w="30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662 visits / 166 patients + 250 navigation episodes / $149 per visit cash ($414 counting donated resources)</w:t>
            </w:r>
          </w:p>
        </w:tc>
      </w:tr>
    </w:tbl>
    <w:p>
      <w:pPr>
        <w:spacing w:after="120" w:before="120" w:line="264"/>
      </w:pPr>
      <w:r>
        <w:rPr>
          <w:rFonts w:ascii="Calibri" w:cs="Calibri" w:eastAsia="Calibri" w:hAnsi="Calibri"/>
          <w:color w:val="1A2420"/>
          <w:sz w:val="21"/>
          <w:szCs w:val="21"/>
        </w:rPr>
        <w:t xml:space="preserve">Both models are true. The study's model is what a mature, professionally staffed program costs — keep it as the Phase 2/3 map and for board honesty about what scale requires. The v2 volunteer model is what gets 166 of your patients seen in 2027 with money you can actually raise.</w:t>
      </w:r>
    </w:p>
    <w:p>
      <w:pPr>
        <w:pStyle w:val="Heading1"/>
        <w:spacing w:after="120" w:before="280"/>
      </w:pPr>
      <w:r>
        <w:t xml:space="preserve">6. Recommended path</w:t>
      </w:r>
    </w:p>
    <w:p>
      <w:pPr>
        <w:pStyle w:val="Heading2"/>
        <w:spacing w:after="120" w:before="200"/>
      </w:pPr>
      <w:r>
        <w:t xml:space="preserve">Phase 0 — now through December 2026 (navigation first)</w:t>
      </w:r>
    </w:p>
    <w:p>
      <w:pPr>
        <w:pStyle w:val="ListParagraph"/>
        <w:numPr>
          <w:ilvl w:val="0"/>
          <w:numId w:val="2"/>
        </w:numPr>
        <w:spacing w:after="60" w:line="264"/>
      </w:pPr>
      <w:r>
        <w:rPr>
          <w:rFonts w:ascii="Calibri" w:cs="Calibri" w:eastAsia="Calibri" w:hAnsi="Calibri"/>
          <w:b w:val="false"/>
          <w:bCs w:val="false"/>
          <w:color w:val="1A2420"/>
          <w:sz w:val="21"/>
          <w:szCs w:val="21"/>
        </w:rPr>
        <w:t xml:space="preserve">Sign a fiscal sponsor (interview Social Good Fund, 8% / Community Partners, 9% private / Charitable Ventures OC). This makes you grant-eligible in weeks, months before the IRS letter.</w:t>
      </w:r>
    </w:p>
    <w:p>
      <w:pPr>
        <w:pStyle w:val="ListParagraph"/>
        <w:numPr>
          <w:ilvl w:val="0"/>
          <w:numId w:val="2"/>
        </w:numPr>
        <w:spacing w:after="60" w:line="264"/>
      </w:pPr>
      <w:r>
        <w:rPr>
          <w:rFonts w:ascii="Calibri" w:cs="Calibri" w:eastAsia="Calibri" w:hAnsi="Calibri"/>
          <w:color w:val="1A2420"/>
          <w:sz w:val="21"/>
          <w:szCs w:val="21"/>
        </w:rPr>
        <w:t xml:space="preserve">Register inlandmind.org today ($12); reserve the corporate name with the SOS ($10); claim social handles.</w:t>
      </w:r>
    </w:p>
    <w:p>
      <w:pPr>
        <w:pStyle w:val="ListParagraph"/>
        <w:numPr>
          <w:ilvl w:val="0"/>
          <w:numId w:val="2"/>
        </w:numPr>
        <w:spacing w:after="60" w:line="264"/>
      </w:pPr>
      <w:r>
        <w:rPr>
          <w:rFonts w:ascii="Calibri" w:cs="Calibri" w:eastAsia="Calibri" w:hAnsi="Calibri"/>
          <w:color w:val="1A2420"/>
          <w:sz w:val="21"/>
          <w:szCs w:val="21"/>
        </w:rPr>
        <w:t xml:space="preserve">Submit CommonSpirit/Dignity San Bernardino by Sept 18 with two substantive partners (candidates: Lestonnac, NAMI Inland Valley or Western Riverside, host congregation, SAC Health).</w:t>
      </w:r>
    </w:p>
    <w:p>
      <w:pPr>
        <w:pStyle w:val="ListParagraph"/>
        <w:numPr>
          <w:ilvl w:val="0"/>
          <w:numId w:val="2"/>
        </w:numPr>
        <w:spacing w:after="60" w:line="264"/>
      </w:pPr>
      <w:r>
        <w:rPr>
          <w:rFonts w:ascii="Calibri" w:cs="Calibri" w:eastAsia="Calibri" w:hAnsi="Calibri"/>
          <w:color w:val="1A2420"/>
          <w:sz w:val="21"/>
          <w:szCs w:val="21"/>
        </w:rPr>
        <w:t xml:space="preserve">Incorporate + file the full Form 1023 in Q4 (fees ~$700 total; IRS currently issues 80% of determinations within ~191 days).</w:t>
      </w:r>
    </w:p>
    <w:p>
      <w:pPr>
        <w:pStyle w:val="ListParagraph"/>
        <w:numPr>
          <w:ilvl w:val="0"/>
          <w:numId w:val="2"/>
        </w:numPr>
        <w:spacing w:after="60" w:line="264"/>
      </w:pPr>
      <w:r>
        <w:rPr>
          <w:rFonts w:ascii="Calibri" w:cs="Calibri" w:eastAsia="Calibri" w:hAnsi="Calibri"/>
          <w:color w:val="1A2420"/>
          <w:sz w:val="21"/>
          <w:szCs w:val="21"/>
        </w:rPr>
        <w:t xml:space="preserve">Hire the part-time benefits navigator through the sponsor in October–November. The navigator's job before any clinic exists: exemption screening (serious mental illness and SUD are exemptions — most of your at-risk patients may be EXEMPTIBLE with documentation), renewal packets, 90-day cure rescues, FFS-transition navigation. Every coverage save is a patient who never needs the free clinic.</w:t>
      </w:r>
    </w:p>
    <w:p>
      <w:pPr>
        <w:pStyle w:val="ListParagraph"/>
        <w:numPr>
          <w:ilvl w:val="0"/>
          <w:numId w:val="2"/>
        </w:numPr>
        <w:spacing w:after="60" w:line="264"/>
      </w:pPr>
      <w:r>
        <w:rPr>
          <w:rFonts w:ascii="Calibri" w:cs="Calibri" w:eastAsia="Calibri" w:hAnsi="Calibri"/>
          <w:color w:val="1A2420"/>
          <w:sz w:val="21"/>
          <w:szCs w:val="21"/>
        </w:rPr>
        <w:t xml:space="preserve">Join NAFC + CAFCC; apply to athenaGives for 2027; open the Zeffy page ($125 = one visit, $35 = a month of medication).</w:t>
      </w:r>
    </w:p>
    <w:p>
      <w:pPr>
        <w:pStyle w:val="Heading2"/>
        <w:spacing w:after="120" w:before="200"/>
      </w:pPr>
      <w:r>
        <w:t xml:space="preserve">Phase 1 — January 2027 (one clinic day per week, partner-hosted)</w:t>
      </w:r>
    </w:p>
    <w:p>
      <w:pPr>
        <w:pStyle w:val="ListParagraph"/>
        <w:numPr>
          <w:ilvl w:val="0"/>
          <w:numId w:val="2"/>
        </w:numPr>
        <w:spacing w:after="60" w:line="264"/>
      </w:pPr>
      <w:r>
        <w:rPr>
          <w:rFonts w:ascii="Calibri" w:cs="Calibri" w:eastAsia="Calibri" w:hAnsi="Calibri"/>
          <w:color w:val="1A2420"/>
          <w:sz w:val="21"/>
          <w:szCs w:val="21"/>
        </w:rPr>
        <w:t xml:space="preserve">Host inside a licensed free/community clinic (first calls: Lestonnac's San Bernardino, Riverside, Jurupa Valley, Moreno Valley sites; CVVIM Indio for a desert arm; SAC Health as referral backbone). The partner is provider of record; your charity funds, staffs (volunteers), and navigates — exactly the study's Option D, at volunteer scale.</w:t>
      </w:r>
    </w:p>
    <w:p>
      <w:pPr>
        <w:pStyle w:val="ListParagraph"/>
        <w:numPr>
          <w:ilvl w:val="0"/>
          <w:numId w:val="2"/>
        </w:numPr>
        <w:spacing w:after="60" w:line="264"/>
      </w:pPr>
      <w:r>
        <w:rPr>
          <w:rFonts w:ascii="Calibri" w:cs="Calibri" w:eastAsia="Calibri" w:hAnsi="Calibri"/>
          <w:color w:val="1A2420"/>
          <w:sz w:val="21"/>
          <w:szCs w:val="21"/>
        </w:rPr>
        <w:t xml:space="preserve">Launch gates kept from the study: signed partner/record-custody agreement; malpractice bound (gap policy until FTCA deeming approved); crisis/988/ED workflows simulated; no controlled-substance initiation; adults only; closure reserve funded.</w:t>
      </w:r>
    </w:p>
    <w:p>
      <w:pPr>
        <w:pStyle w:val="ListParagraph"/>
        <w:numPr>
          <w:ilvl w:val="0"/>
          <w:numId w:val="2"/>
        </w:numPr>
        <w:spacing w:after="60" w:line="264"/>
      </w:pPr>
      <w:r>
        <w:rPr>
          <w:rFonts w:ascii="Calibri" w:cs="Calibri" w:eastAsia="Calibri" w:hAnsi="Calibri"/>
          <w:color w:val="1A2420"/>
          <w:sz w:val="21"/>
          <w:szCs w:val="21"/>
        </w:rPr>
        <w:t xml:space="preserve">Scope: bridge continuation, medication management, coverage rescue at every visit, warm handoff to permanent care. 90-day episodes renewable — never calendar-terminate into an unsafe gap (study's rule, kept).</w:t>
      </w:r>
    </w:p>
    <w:p>
      <w:pPr>
        <w:pStyle w:val="Heading2"/>
        <w:spacing w:after="120" w:before="200"/>
      </w:pPr>
      <w:r>
        <w:t xml:space="preserve">Phase 2 — 2028+ gate (not a plan)</w:t>
      </w:r>
    </w:p>
    <w:p>
      <w:pPr>
        <w:pStyle w:val="ListParagraph"/>
        <w:numPr>
          <w:ilvl w:val="0"/>
          <w:numId w:val="2"/>
        </w:numPr>
        <w:spacing w:after="60" w:line="264"/>
      </w:pPr>
      <w:r>
        <w:rPr>
          <w:rFonts w:ascii="Calibri" w:cs="Calibri" w:eastAsia="Calibri" w:hAnsi="Calibri"/>
          <w:color w:val="1A2420"/>
          <w:sz w:val="21"/>
          <w:szCs w:val="21"/>
        </w:rPr>
        <w:t xml:space="preserve">Add a second clinic day (~$174K budget) when four-plus reliable volunteer prescribers and full-year funding exist; consider your own CDPH free-clinic license ($1,646 fee, 6–12 months) only if partner capacity truly binds. Staying partner-hosted indefinitely is a success outcome, per the study's own Option D scoring.</w:t>
      </w:r>
    </w:p>
    <w:p>
      <w:pPr>
        <w:pStyle w:val="Heading2"/>
        <w:spacing w:after="120" w:before="200"/>
      </w:pPr>
      <w:r>
        <w:t xml:space="preserve">Steelman and pre-mortem</w:t>
      </w:r>
    </w:p>
    <w:p>
      <w:pPr>
        <w:spacing w:after="120" w:before="0" w:line="264"/>
      </w:pPr>
      <w:r>
        <w:rPr>
          <w:rFonts w:ascii="Calibri" w:cs="Calibri" w:eastAsia="Calibri" w:hAnsi="Calibri"/>
          <w:color w:val="1A2420"/>
          <w:sz w:val="21"/>
          <w:szCs w:val="21"/>
        </w:rPr>
        <w:t xml:space="preserve">The study's case for the $3M professional model: volunteer supply is fragile; donated labor evaporates in a crisis; a program serving post-loss psychiatric patients carries acuity that Saturday-morning goodwill may not safely hold; paid staff and hard insurance are how you avoid abandoning patient #200. That is all true at scale — which is why Phase 2 exists and why the v2 model still pays for the navigator, insurance, cross-coverage rules, and a closure reserve rather than pretending volunteers solve everything.</w:t>
      </w:r>
    </w:p>
    <w:p>
      <w:pPr>
        <w:spacing w:after="120" w:before="0" w:line="264"/>
      </w:pPr>
      <w:r>
        <w:rPr>
          <w:rFonts w:ascii="Calibri" w:cs="Calibri" w:eastAsia="Calibri" w:hAnsi="Calibri"/>
          <w:color w:val="1A2420"/>
          <w:sz w:val="21"/>
          <w:szCs w:val="21"/>
        </w:rPr>
        <w:t xml:space="preserve">The case against waiting for $3M: you will not raise it by January 2027; nobody in the IE is running a psychiatric bridge program (verified white space); every month of delay converts stable patients into ED visits; and the sector precedent for lean volunteer psychiatry is proven. Perfect readiness that arrives in 2029 helps nobody disenrolled in March 2027.</w:t>
      </w:r>
    </w:p>
    <w:p>
      <w:pPr>
        <w:spacing w:after="120" w:before="0" w:line="264"/>
      </w:pPr>
      <w:r>
        <w:rPr>
          <w:rFonts w:ascii="Calibri" w:cs="Calibri" w:eastAsia="Calibri" w:hAnsi="Calibri"/>
          <w:color w:val="1A2420"/>
          <w:sz w:val="21"/>
          <w:szCs w:val="21"/>
        </w:rPr>
        <w:t xml:space="preserve">Pre-mortem — how this fails, and the counter built into the plan: (1) Volunteer prescribers drop off → cap census to confirmed coverage, signed cross-coverage roster, IPMG grand-rounds recruitment pipeline. (2) Partner talks stall → run navigation-only through winter; add a monthly telepsych bridge session (ALAS model) while negotiating; escalate to CVVIM/SAC alternates. (3) Demand swamps one day → triage tiers from the study apply; waitlist with med-continuity priority; never expand past safe staffing. (4) Funding gap → the base budget's floor variant ($69K) is pre-designed; navigator hours are the accordion. (5) IPMG-optics blowup → the study's Section 8/19 safeguards adopted from day one: independent board majority, open referrals, no IPMG preference, public related-party disclosure. (6) A patient crisis at the clinic → launch-gate simulations, 988/mobile-crisis/ED protocols, no benzo/stimulant initiation, conservative scope.</w:t>
      </w:r>
    </w:p>
    <w:p>
      <w:pPr>
        <w:pStyle w:val="Heading1"/>
        <w:spacing w:after="120" w:before="280"/>
      </w:pPr>
      <w:r>
        <w:t xml:space="preserve">7. Alternatives considered (ranked)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00"/>
        <w:gridCol w:w="3300"/>
        <w:gridCol w:w="2100"/>
        <w:gridCol w:w="1660"/>
      </w:tblGrid>
      <w:tr>
        <w:tc>
          <w:tcPr>
            <w:tcW w:type="dxa" w:w="2300"/>
            <w:tcBorders>
              <w:top w:val="single" w:color="CCCCCC" w:sz="2"/>
              <w:left w:val="single" w:color="CCCCCC" w:sz="2"/>
              <w:bottom w:val="single" w:color="CCCCCC" w:sz="2"/>
              <w:right w:val="single" w:color="CCCCCC" w:sz="2"/>
            </w:tcBorders>
            <w:shd w:fill="123F33" w:val="clear"/>
            <w:tcMar>
              <w:top w:type="dxa" w:w="60"/>
              <w:left w:type="dxa" w:w="80"/>
              <w:bottom w:type="dxa" w:w="60"/>
              <w:right w:type="dxa" w:w="80"/>
            </w:tcMar>
          </w:tcPr>
          <w:p>
            <w:pPr>
              <w:spacing w:after="0" w:line="240"/>
            </w:pPr>
            <w:r>
              <w:rPr>
                <w:rFonts w:ascii="Calibri" w:cs="Calibri" w:eastAsia="Calibri" w:hAnsi="Calibri"/>
                <w:b/>
                <w:bCs/>
                <w:color w:val="FFFFFF"/>
                <w:sz w:val="18"/>
                <w:szCs w:val="18"/>
              </w:rPr>
              <w:t xml:space="preserve">Option</w:t>
            </w:r>
          </w:p>
        </w:tc>
        <w:tc>
          <w:tcPr>
            <w:tcW w:type="dxa" w:w="3300"/>
            <w:tcBorders>
              <w:top w:val="single" w:color="CCCCCC" w:sz="2"/>
              <w:left w:val="single" w:color="CCCCCC" w:sz="2"/>
              <w:bottom w:val="single" w:color="CCCCCC" w:sz="2"/>
              <w:right w:val="single" w:color="CCCCCC" w:sz="2"/>
            </w:tcBorders>
            <w:shd w:fill="123F33" w:val="clear"/>
            <w:tcMar>
              <w:top w:type="dxa" w:w="60"/>
              <w:left w:type="dxa" w:w="80"/>
              <w:bottom w:type="dxa" w:w="60"/>
              <w:right w:type="dxa" w:w="80"/>
            </w:tcMar>
          </w:tcPr>
          <w:p>
            <w:pPr>
              <w:spacing w:after="0" w:line="240"/>
            </w:pPr>
            <w:r>
              <w:rPr>
                <w:rFonts w:ascii="Calibri" w:cs="Calibri" w:eastAsia="Calibri" w:hAnsi="Calibri"/>
                <w:b/>
                <w:bCs/>
                <w:color w:val="FFFFFF"/>
                <w:sz w:val="18"/>
                <w:szCs w:val="18"/>
              </w:rPr>
              <w:t xml:space="preserve">What it is</w:t>
            </w:r>
          </w:p>
        </w:tc>
        <w:tc>
          <w:tcPr>
            <w:tcW w:type="dxa" w:w="2100"/>
            <w:tcBorders>
              <w:top w:val="single" w:color="CCCCCC" w:sz="2"/>
              <w:left w:val="single" w:color="CCCCCC" w:sz="2"/>
              <w:bottom w:val="single" w:color="CCCCCC" w:sz="2"/>
              <w:right w:val="single" w:color="CCCCCC" w:sz="2"/>
            </w:tcBorders>
            <w:shd w:fill="123F33" w:val="clear"/>
            <w:tcMar>
              <w:top w:type="dxa" w:w="60"/>
              <w:left w:type="dxa" w:w="80"/>
              <w:bottom w:type="dxa" w:w="60"/>
              <w:right w:type="dxa" w:w="80"/>
            </w:tcMar>
          </w:tcPr>
          <w:p>
            <w:pPr>
              <w:spacing w:after="0" w:line="240"/>
            </w:pPr>
            <w:r>
              <w:rPr>
                <w:rFonts w:ascii="Calibri" w:cs="Calibri" w:eastAsia="Calibri" w:hAnsi="Calibri"/>
                <w:b/>
                <w:bCs/>
                <w:color w:val="FFFFFF"/>
                <w:sz w:val="18"/>
                <w:szCs w:val="18"/>
              </w:rPr>
              <w:t xml:space="preserve">Verdict</w:t>
            </w:r>
          </w:p>
        </w:tc>
        <w:tc>
          <w:tcPr>
            <w:tcW w:type="dxa" w:w="1660"/>
            <w:tcBorders>
              <w:top w:val="single" w:color="CCCCCC" w:sz="2"/>
              <w:left w:val="single" w:color="CCCCCC" w:sz="2"/>
              <w:bottom w:val="single" w:color="CCCCCC" w:sz="2"/>
              <w:right w:val="single" w:color="CCCCCC" w:sz="2"/>
            </w:tcBorders>
            <w:shd w:fill="123F33" w:val="clear"/>
            <w:tcMar>
              <w:top w:type="dxa" w:w="60"/>
              <w:left w:type="dxa" w:w="80"/>
              <w:bottom w:type="dxa" w:w="60"/>
              <w:right w:type="dxa" w:w="80"/>
            </w:tcMar>
          </w:tcPr>
          <w:p>
            <w:pPr>
              <w:spacing w:after="0" w:line="240"/>
            </w:pPr>
            <w:r>
              <w:rPr>
                <w:rFonts w:ascii="Calibri" w:cs="Calibri" w:eastAsia="Calibri" w:hAnsi="Calibri"/>
                <w:b/>
                <w:bCs/>
                <w:color w:val="FFFFFF"/>
                <w:sz w:val="18"/>
                <w:szCs w:val="18"/>
              </w:rPr>
              <w:t xml:space="preserve">Why</w:t>
            </w:r>
          </w:p>
        </w:tc>
      </w:tr>
      <w:tr>
        <w:tc>
          <w:tcPr>
            <w:tcW w:type="dxa" w:w="2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A. Partner-hosted volunteer clinic + navigation charity (CHOSEN)</w:t>
            </w:r>
          </w:p>
        </w:tc>
        <w:tc>
          <w:tcPr>
            <w:tcW w:type="dxa" w:w="3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Volunteer clinic day inside a licensed free clinic; your nonprofit runs money + navigation</w:t>
            </w:r>
          </w:p>
        </w:tc>
        <w:tc>
          <w:tcPr>
            <w:tcW w:type="dxa" w:w="21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GO — Phase 1</w:t>
            </w:r>
          </w:p>
        </w:tc>
        <w:tc>
          <w:tcPr>
            <w:tcW w:type="dxa" w:w="16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Fastest lawful route; matches budget; preserves every safety gate</w:t>
            </w:r>
          </w:p>
        </w:tc>
      </w:tr>
      <w:tr>
        <w:tc>
          <w:tcPr>
            <w:tcW w:type="dxa" w:w="2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B. Join an existing clinic as a program (no new entity yet)</w:t>
            </w:r>
          </w:p>
        </w:tc>
        <w:tc>
          <w:tcPr>
            <w:tcW w:type="dxa" w:w="3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Volunteer psychiatric service line inside Lestonnac/CVVIM under their 501(c)(3)</w:t>
            </w:r>
          </w:p>
        </w:tc>
        <w:tc>
          <w:tcPr>
            <w:tcW w:type="dxa" w:w="21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Strong fallback</w:t>
            </w:r>
          </w:p>
        </w:tc>
        <w:tc>
          <w:tcPr>
            <w:tcW w:type="dxa" w:w="16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Cheapest and fastest of all; costs you brand, grant identity, and control — keep if fiscal sponsorship stalls</w:t>
            </w:r>
          </w:p>
        </w:tc>
      </w:tr>
      <w:tr>
        <w:tc>
          <w:tcPr>
            <w:tcW w:type="dxa" w:w="2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C. Navigation-only year one</w:t>
            </w:r>
          </w:p>
        </w:tc>
        <w:tc>
          <w:tcPr>
            <w:tcW w:type="dxa" w:w="3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Defer all clinical care; pure coverage-defense program</w:t>
            </w:r>
          </w:p>
        </w:tc>
        <w:tc>
          <w:tcPr>
            <w:tcW w:type="dxa" w:w="21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Partial adopt (it IS Phase 0)</w:t>
            </w:r>
          </w:p>
        </w:tc>
        <w:tc>
          <w:tcPr>
            <w:tcW w:type="dxa" w:w="16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Highest ROI per dollar, but abandons patients who still lose coverage</w:t>
            </w:r>
          </w:p>
        </w:tc>
      </w:tr>
      <w:tr>
        <w:tc>
          <w:tcPr>
            <w:tcW w:type="dxa" w:w="2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D. Telepsych-only free clinic (ALAS model)</w:t>
            </w:r>
          </w:p>
        </w:tc>
        <w:tc>
          <w:tcPr>
            <w:tcW w:type="dxa" w:w="3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Monthly/biweekly virtual sessions; minimal footprint</w:t>
            </w:r>
          </w:p>
        </w:tc>
        <w:tc>
          <w:tcPr>
            <w:tcW w:type="dxa" w:w="21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Adopt as adjunct</w:t>
            </w:r>
          </w:p>
        </w:tc>
        <w:tc>
          <w:tcPr>
            <w:tcW w:type="dxa" w:w="16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Great for desert/rural reach + overflow; DEA telemedicine rules post-2026 unsettled — don't build the core on it</w:t>
            </w:r>
          </w:p>
        </w:tc>
      </w:tr>
      <w:tr>
        <w:tc>
          <w:tcPr>
            <w:tcW w:type="dxa" w:w="2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E. Strict access fund (study's Option E)</w:t>
            </w:r>
          </w:p>
        </w:tc>
        <w:tc>
          <w:tcPr>
            <w:tcW w:type="dxa" w:w="3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Charity buys care from lawful providers</w:t>
            </w:r>
          </w:p>
        </w:tc>
        <w:tc>
          <w:tcPr>
            <w:tcW w:type="dxa" w:w="21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Hold</w:t>
            </w:r>
          </w:p>
        </w:tc>
        <w:tc>
          <w:tcPr>
            <w:tcW w:type="dxa" w:w="16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Cleanest legally, weakest continuity; the study's own scoring ranks it below D</w:t>
            </w:r>
          </w:p>
        </w:tc>
      </w:tr>
      <w:tr>
        <w:tc>
          <w:tcPr>
            <w:tcW w:type="dxa" w:w="2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F. Low-cost sliding-scale under Agape (for-profit)</w:t>
            </w:r>
          </w:p>
        </w:tc>
        <w:tc>
          <w:tcPr>
            <w:tcW w:type="dxa" w:w="3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$50–75 cash visits through your S-corp</w:t>
            </w:r>
          </w:p>
        </w:tc>
        <w:tc>
          <w:tcPr>
            <w:tcW w:type="dxa" w:w="21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Reject as the answer</w:t>
            </w:r>
          </w:p>
        </w:tc>
        <w:tc>
          <w:tcPr>
            <w:tcW w:type="dxa" w:w="16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Helps some patients, forfeits grants/tax-deductibility, deepens related-party optics; fine as a private-side complement</w:t>
            </w:r>
          </w:p>
        </w:tc>
      </w:tr>
      <w:tr>
        <w:tc>
          <w:tcPr>
            <w:tcW w:type="dxa" w:w="2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G. Wait and raise $3M for the study's lean model</w:t>
            </w:r>
          </w:p>
        </w:tc>
        <w:tc>
          <w:tcPr>
            <w:tcW w:type="dxa" w:w="33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Professional program in 2028–29</w:t>
            </w:r>
          </w:p>
        </w:tc>
        <w:tc>
          <w:tcPr>
            <w:tcW w:type="dxa" w:w="210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Reject for 2027</w:t>
            </w:r>
          </w:p>
        </w:tc>
        <w:tc>
          <w:tcPr>
            <w:tcW w:type="dxa" w:w="1660"/>
            <w:tcBorders>
              <w:top w:val="single" w:color="CCCCCC" w:sz="2"/>
              <w:left w:val="single" w:color="CCCCCC" w:sz="2"/>
              <w:bottom w:val="single" w:color="CCCCCC" w:sz="2"/>
              <w:right w:val="single" w:color="CCCCCC" w:sz="2"/>
            </w:tcBorders>
            <w:tcMar>
              <w:top w:type="dxa" w:w="60"/>
              <w:left w:type="dxa" w:w="80"/>
              <w:bottom w:type="dxa" w:w="60"/>
              <w:right w:type="dxa" w:w="80"/>
            </w:tcMar>
          </w:tcPr>
          <w:p>
            <w:pPr>
              <w:spacing w:after="0" w:line="240"/>
            </w:pPr>
            <w:r>
              <w:rPr>
                <w:rFonts w:ascii="Calibri" w:cs="Calibri" w:eastAsia="Calibri" w:hAnsi="Calibri"/>
                <w:color w:val="1A2420"/>
                <w:sz w:val="18"/>
                <w:szCs w:val="18"/>
              </w:rPr>
              <w:t xml:space="preserve">Misses the entire first wave; keep as the Phase 2/3 map</w:t>
            </w:r>
          </w:p>
        </w:tc>
      </w:tr>
    </w:tbl>
    <w:p>
      <w:pPr>
        <w:pStyle w:val="Heading1"/>
        <w:spacing w:after="120" w:before="280"/>
      </w:pPr>
      <w:r>
        <w:t xml:space="preserve">8. Funding: what is real for year one</w:t>
      </w:r>
    </w:p>
    <w:p>
      <w:pPr>
        <w:spacing w:after="120" w:before="0" w:line="264"/>
      </w:pPr>
      <w:r>
        <w:rPr>
          <w:rFonts w:ascii="Calibri" w:cs="Calibri" w:eastAsia="Calibri" w:hAnsi="Calibri"/>
          <w:color w:val="1A2420"/>
          <w:sz w:val="21"/>
          <w:szCs w:val="21"/>
        </w:rPr>
        <w:t xml:space="preserve">Full verified pipeline, calendar, and the original database's row-by-row verdicts: see 2026-08-13_inland-mind_grants_matrix_v1.xlsx. Headlines:</w:t>
      </w:r>
    </w:p>
    <w:p>
      <w:pPr>
        <w:pStyle w:val="ListParagraph"/>
        <w:numPr>
          <w:ilvl w:val="0"/>
          <w:numId w:val="2"/>
        </w:numPr>
        <w:spacing w:after="60" w:line="264"/>
      </w:pPr>
      <w:r>
        <w:rPr>
          <w:rFonts w:ascii="Calibri" w:cs="Calibri" w:eastAsia="Calibri" w:hAnsi="Calibri"/>
          <w:color w:val="1A2420"/>
          <w:sz w:val="21"/>
          <w:szCs w:val="21"/>
        </w:rPr>
        <w:t xml:space="preserve">CommonSpirit/Dignity San Bernardino — Sept 18, 2026, $20K–$80K, fiscal agent OK, mental health + uninsured care named priorities in the St. Bernardine/Community Hospital service area. The flagship. Requires two substantive partners — start those calls this week.</w:t>
      </w:r>
    </w:p>
    <w:p>
      <w:pPr>
        <w:pStyle w:val="ListParagraph"/>
        <w:numPr>
          <w:ilvl w:val="0"/>
          <w:numId w:val="2"/>
        </w:numPr>
        <w:spacing w:after="60" w:line="264"/>
      </w:pPr>
      <w:r>
        <w:rPr>
          <w:rFonts w:ascii="Calibri" w:cs="Calibri" w:eastAsia="Calibri" w:hAnsi="Calibri"/>
          <w:color w:val="1A2420"/>
          <w:sz w:val="21"/>
          <w:szCs w:val="21"/>
        </w:rPr>
        <w:t xml:space="preserve">NAFC membership is the multiplier: unlocks CVS Health Foundation member rounds, Direct Relief and Americares donated psychiatric meds, the free athenahealth EHR, and group purchasing. Programs of a sponsored 501(c)(3) qualify.</w:t>
      </w:r>
    </w:p>
    <w:p>
      <w:pPr>
        <w:pStyle w:val="ListParagraph"/>
        <w:numPr>
          <w:ilvl w:val="0"/>
          <w:numId w:val="2"/>
        </w:numPr>
        <w:spacing w:after="60" w:line="264"/>
      </w:pPr>
      <w:r>
        <w:rPr>
          <w:rFonts w:ascii="Calibri" w:cs="Calibri" w:eastAsia="Calibri" w:hAnsi="Calibri"/>
          <w:color w:val="1A2420"/>
          <w:sz w:val="21"/>
          <w:szCs w:val="21"/>
        </w:rPr>
        <w:t xml:space="preserve">Local: IECF Community Impact Fund (up to $20K unrestricted — watch the cycle), Parkview Legacy (Riverside health access, portal open), LLUH Community Health Investment Awards (ask for FY27 dates), Stater Bros. ($500–$2,500).</w:t>
      </w:r>
    </w:p>
    <w:p>
      <w:pPr>
        <w:pStyle w:val="ListParagraph"/>
        <w:numPr>
          <w:ilvl w:val="0"/>
          <w:numId w:val="2"/>
        </w:numPr>
        <w:spacing w:after="60" w:line="264"/>
      </w:pPr>
      <w:r>
        <w:rPr>
          <w:rFonts w:ascii="Calibri" w:cs="Calibri" w:eastAsia="Calibri" w:hAnsi="Calibri"/>
          <w:color w:val="1A2420"/>
          <w:sz w:val="21"/>
          <w:szCs w:val="21"/>
        </w:rPr>
        <w:t xml:space="preserve">2027 calendar: Elevance BH RFP Jan 1–31 (direct care NOT excluded — corrected), Bank of America Basic Needs ~Feb, San Manuel ~Feb–Mar, IEHP Foundation next cycles, county BHSA contracts as they emerge.</w:t>
      </w:r>
    </w:p>
    <w:p>
      <w:pPr>
        <w:pStyle w:val="ListParagraph"/>
        <w:numPr>
          <w:ilvl w:val="0"/>
          <w:numId w:val="2"/>
        </w:numPr>
        <w:spacing w:after="60" w:line="264"/>
      </w:pPr>
      <w:r>
        <w:rPr>
          <w:rFonts w:ascii="Calibri" w:cs="Calibri" w:eastAsia="Calibri" w:hAnsi="Calibri"/>
          <w:color w:val="1A2420"/>
          <w:sz w:val="21"/>
          <w:szCs w:val="21"/>
        </w:rPr>
        <w:t xml:space="preserve">Realism check, kept from the study: no competitive grant is launch cash until awarded. The v2 funding plan shows $112K identified sources against a $123K target — an honest $11K gap closed by seed gifts, the floor variant, or one more small award.</w:t>
      </w:r>
    </w:p>
    <w:p>
      <w:pPr>
        <w:pStyle w:val="Heading1"/>
        <w:spacing w:after="120" w:before="280"/>
      </w:pPr>
      <w:r>
        <w:t xml:space="preserve">9. The name: Inland Mind Foundation</w:t>
      </w:r>
    </w:p>
    <w:p>
      <w:pPr>
        <w:spacing w:after="120" w:before="0" w:line="264"/>
      </w:pPr>
      <w:r>
        <w:rPr>
          <w:rFonts w:ascii="Calibri" w:cs="Calibri" w:eastAsia="Calibri" w:hAnsi="Calibri"/>
          <w:color w:val="1A2420"/>
          <w:sz w:val="21"/>
          <w:szCs w:val="21"/>
        </w:rPr>
        <w:t xml:space="preserve">Decision record. First choice SteadyMind failed the collision screen: two PMHNP-run telepsychiatry practices already operate under that exact name (steadymindfl.com, steadymind.net), plus SteadyMindz LLC (IN), Steady Mind Therapy PLLC (MI), a parked steadymind.org, a live “Steady Mind” supplement trademark (Gaia Herbs), and SteadyMD adjacency. Coexistence was possible; owning the name was not.</w:t>
      </w:r>
    </w:p>
    <w:p>
      <w:pPr>
        <w:spacing w:after="120" w:before="0" w:line="264"/>
      </w:pPr>
      <w:r>
        <w:rPr>
          <w:rFonts w:ascii="Calibri" w:cs="Calibri" w:eastAsia="Calibri" w:hAnsi="Calibri"/>
          <w:color w:val="1A2420"/>
          <w:sz w:val="21"/>
          <w:szCs w:val="21"/>
        </w:rPr>
        <w:t xml:space="preserve">Inland Mind Foundation cleared the screen: no organization found using it, no live trademark, inlandmind.org unregistered as of today. It reads institutional next to IEHP and county partners, holds “Inland” as shared regional vocabulary (IEHP, Inland Behavioral, IECF) without borrowing IPMG's brand, and stays short enough for a tired patient to remember. Runner-ups if you ever pivot: The Continuity Clinic (generic — residency programs everywhere use the phrase), Puente Mental Health (warm, bilingual, moderate collisions), Adelante Mental Health, Inland Hope Psychiatry (inlandhope.org also free).</w:t>
      </w:r>
    </w:p>
    <w:p>
      <w:pPr>
        <w:pStyle w:val="ListParagraph"/>
        <w:numPr>
          <w:ilvl w:val="0"/>
          <w:numId w:val="2"/>
        </w:numPr>
        <w:spacing w:after="60" w:line="264"/>
      </w:pPr>
      <w:r>
        <w:rPr>
          <w:rFonts w:ascii="Calibri" w:cs="Calibri" w:eastAsia="Calibri" w:hAnsi="Calibri"/>
          <w:color w:val="1A2420"/>
          <w:sz w:val="21"/>
          <w:szCs w:val="21"/>
        </w:rPr>
        <w:t xml:space="preserve">Do this week: register inlandmind.org and inlandmindfoundation.org (~$25 total); reserve “Inland Mind Foundation” at bizfileonline.sos.ca.gov ($10); manual USPTO TESS search before filing articles; claim @inlandmind handles.</w:t>
      </w:r>
    </w:p>
    <w:p>
      <w:pPr>
        <w:spacing w:after="120" w:before="0" w:line="264"/>
      </w:pPr>
      <w:r>
        <w:rPr>
          <w:rFonts w:ascii="Calibri" w:cs="Calibri" w:eastAsia="Calibri" w:hAnsi="Calibri"/>
          <w:color w:val="1A2420"/>
          <w:sz w:val="21"/>
          <w:szCs w:val="21"/>
        </w:rPr>
        <w:t xml:space="preserve">Formal clearance (SOS availability + trademark counsel) precedes incorporation — the site ships with the name in one config file either way.</w:t>
      </w:r>
    </w:p>
    <w:p>
      <w:pPr>
        <w:pStyle w:val="Heading1"/>
        <w:spacing w:after="120" w:before="280"/>
      </w:pPr>
      <w:r>
        <w:t xml:space="preserve">10. The website (built)</w:t>
      </w:r>
    </w:p>
    <w:p>
      <w:pPr>
        <w:spacing w:after="120" w:before="0" w:line="264"/>
      </w:pPr>
      <w:r>
        <w:rPr>
          <w:rFonts w:ascii="Calibri" w:cs="Calibri" w:eastAsia="Calibri" w:hAnsi="Calibri"/>
          <w:color w:val="1A2420"/>
          <w:sz w:val="21"/>
          <w:szCs w:val="21"/>
        </w:rPr>
        <w:t xml:space="preserve">Astro 5 static site, same stack as npfady.com (GitHub → Cloudflare Pages), delivered as a git-initialized repo with a step-by-step deploy guide. Pre-launch posture per your call: mission, the 2027 coverage cliff explained plainly, how the clinic will work, and three capture paths — care waitlist, volunteer clinicians, donors. Institution-first branding; you appear as founder on the About page.</w:t>
      </w:r>
    </w:p>
    <w:p>
      <w:pPr>
        <w:pStyle w:val="ListParagraph"/>
        <w:numPr>
          <w:ilvl w:val="0"/>
          <w:numId w:val="2"/>
        </w:numPr>
        <w:spacing w:after="60" w:line="264"/>
      </w:pPr>
      <w:r>
        <w:rPr>
          <w:rFonts w:ascii="Calibri" w:cs="Calibri" w:eastAsia="Calibri" w:hAnsi="Calibri"/>
          <w:color w:val="1A2420"/>
          <w:sz w:val="21"/>
          <w:szCs w:val="21"/>
        </w:rPr>
        <w:t xml:space="preserve">ADHD-informed by design: four nav items, one primary action per page, 3-step “how it works” cards, short high-contrast sections, 65-character line lengths, no carousels or autoplay, reduced-motion respected, sticky Get Care action.</w:t>
      </w:r>
    </w:p>
    <w:p>
      <w:pPr>
        <w:pStyle w:val="ListParagraph"/>
        <w:numPr>
          <w:ilvl w:val="0"/>
          <w:numId w:val="2"/>
        </w:numPr>
        <w:spacing w:after="60" w:line="264"/>
      </w:pPr>
      <w:r>
        <w:rPr>
          <w:rFonts w:ascii="Calibri" w:cs="Calibri" w:eastAsia="Calibri" w:hAnsi="Calibri"/>
          <w:color w:val="1A2420"/>
          <w:sz w:val="21"/>
          <w:szCs w:val="21"/>
        </w:rPr>
        <w:t xml:space="preserve">Safety: crisis strip (988 call/text, Crisis Text Line) on every page — numbers to be read digit-by-digit on the live preview before launch, per your standing site protocol.</w:t>
      </w:r>
    </w:p>
    <w:p>
      <w:pPr>
        <w:pStyle w:val="ListParagraph"/>
        <w:numPr>
          <w:ilvl w:val="0"/>
          <w:numId w:val="2"/>
        </w:numPr>
        <w:spacing w:after="60" w:line="264"/>
      </w:pPr>
      <w:r>
        <w:rPr>
          <w:rFonts w:ascii="Calibri" w:cs="Calibri" w:eastAsia="Calibri" w:hAnsi="Calibri"/>
          <w:color w:val="1A2420"/>
          <w:sz w:val="21"/>
          <w:szCs w:val="21"/>
        </w:rPr>
        <w:t xml:space="preserve">Honesty guardrails: clear “planned to open January 2027 / not yet seeing patients” language; donation page copy avoids tax-deductibility claims until the fiscal sponsorship is signed; placeholders marked for sponsor name, EIN, and forms.</w:t>
      </w:r>
    </w:p>
    <w:p>
      <w:pPr>
        <w:pStyle w:val="ListParagraph"/>
        <w:numPr>
          <w:ilvl w:val="0"/>
          <w:numId w:val="2"/>
        </w:numPr>
        <w:spacing w:after="60" w:line="264"/>
      </w:pPr>
      <w:r>
        <w:rPr>
          <w:rFonts w:ascii="Calibri" w:cs="Calibri" w:eastAsia="Calibri" w:hAnsi="Calibri"/>
          <w:color w:val="1A2420"/>
          <w:sz w:val="21"/>
          <w:szCs w:val="21"/>
        </w:rPr>
        <w:t xml:space="preserve">Swap-ready: organization name, palette, and contact live in src/config.ts; forms point at placeholder endpoints (Formspree/Tally) documented in the README; Zeffy donate link slot ready.</w:t>
      </w:r>
    </w:p>
    <w:p>
      <w:pPr>
        <w:pStyle w:val="Heading1"/>
        <w:spacing w:after="120" w:before="280"/>
      </w:pPr>
      <w:r>
        <w:t xml:space="preserve">11. Method and principal sources</w:t>
      </w:r>
    </w:p>
    <w:p>
      <w:pPr>
        <w:spacing w:after="80" w:before="0" w:line="264"/>
      </w:pPr>
      <w:r>
        <w:rPr>
          <w:rFonts w:ascii="Calibri" w:cs="Calibri" w:eastAsia="Calibri" w:hAnsi="Calibri"/>
          <w:color w:val="1A2420"/>
          <w:sz w:val="21"/>
          <w:szCs w:val="21"/>
        </w:rPr>
        <w:t xml:space="preserve">Four parallel research agents ran ~300 primary-source checks on August 13, 2026 (Pacific). Statuses change; re-verify any deadline on the official page before submitting. Key sources:</w:t>
      </w:r>
    </w:p>
    <w:p>
      <w:pPr>
        <w:pStyle w:val="ListParagraph"/>
        <w:numPr>
          <w:ilvl w:val="0"/>
          <w:numId w:val="2"/>
        </w:numPr>
        <w:spacing w:after="60" w:line="264"/>
      </w:pPr>
      <w:r>
        <w:rPr>
          <w:rFonts w:ascii="Calibri" w:cs="Calibri" w:eastAsia="Calibri" w:hAnsi="Calibri"/>
          <w:color w:val="1A2420"/>
          <w:sz w:val="21"/>
          <w:szCs w:val="21"/>
        </w:rPr>
        <w:t xml:space="preserve">CHHS Open Data — Medi-Cal Certified Eligibles by Month (June 2026 preliminary): data.chhs.ca.gov</w:t>
      </w:r>
    </w:p>
    <w:p>
      <w:pPr>
        <w:pStyle w:val="ListParagraph"/>
        <w:numPr>
          <w:ilvl w:val="0"/>
          <w:numId w:val="2"/>
        </w:numPr>
        <w:spacing w:after="60" w:line="264"/>
      </w:pPr>
      <w:r>
        <w:rPr>
          <w:rFonts w:ascii="Calibri" w:cs="Calibri" w:eastAsia="Calibri" w:hAnsi="Calibri"/>
          <w:color w:val="1A2420"/>
          <w:sz w:val="21"/>
          <w:szCs w:val="21"/>
        </w:rPr>
        <w:t xml:space="preserve">DHCS — Medi-Cal Changes member page; H.R.1 Implementation Plan (Jan 29, 2026); HR1 fact sheet; ACWDL 25-30; immigrant-eligibility FAQs: dhcs.ca.gov</w:t>
      </w:r>
    </w:p>
    <w:p>
      <w:pPr>
        <w:pStyle w:val="ListParagraph"/>
        <w:numPr>
          <w:ilvl w:val="0"/>
          <w:numId w:val="2"/>
        </w:numPr>
        <w:spacing w:after="60" w:line="264"/>
      </w:pPr>
      <w:r>
        <w:rPr>
          <w:rFonts w:ascii="Calibri" w:cs="Calibri" w:eastAsia="Calibri" w:hAnsi="Calibri"/>
          <w:color w:val="1A2420"/>
          <w:sz w:val="21"/>
          <w:szCs w:val="21"/>
        </w:rPr>
        <w:t xml:space="preserve">P.L. 119-21 text (Congress.gov); CMS interim final rule CMS-2454-IFC, Federal Register June 3, 2026; PI denial, D. Mass., July 30, 2026 (states' suit)</w:t>
      </w:r>
    </w:p>
    <w:p>
      <w:pPr>
        <w:pStyle w:val="ListParagraph"/>
        <w:numPr>
          <w:ilvl w:val="0"/>
          <w:numId w:val="2"/>
        </w:numPr>
        <w:spacing w:after="60" w:line="264"/>
      </w:pPr>
      <w:r>
        <w:rPr>
          <w:rFonts w:ascii="Calibri" w:cs="Calibri" w:eastAsia="Calibri" w:hAnsi="Calibri"/>
          <w:color w:val="1A2420"/>
          <w:sz w:val="21"/>
          <w:szCs w:val="21"/>
        </w:rPr>
        <w:t xml:space="preserve">Covered California 2027 preliminary rates release (July 21, 2026): coveredca.com</w:t>
      </w:r>
    </w:p>
    <w:p>
      <w:pPr>
        <w:pStyle w:val="ListParagraph"/>
        <w:numPr>
          <w:ilvl w:val="0"/>
          <w:numId w:val="2"/>
        </w:numPr>
        <w:spacing w:after="60" w:line="264"/>
      </w:pPr>
      <w:r>
        <w:rPr>
          <w:rFonts w:ascii="Calibri" w:cs="Calibri" w:eastAsia="Calibri" w:hAnsi="Calibri"/>
          <w:color w:val="1A2420"/>
          <w:sz w:val="21"/>
          <w:szCs w:val="21"/>
        </w:rPr>
        <w:t xml:space="preserve">Census QuickFacts V2025 (both counties); HRSA HPSA downloads (Aug 13, 2026); RUHS-BH 2026-29 Integrated Plan; SB County Community Indicators</w:t>
      </w:r>
    </w:p>
    <w:p>
      <w:pPr>
        <w:pStyle w:val="ListParagraph"/>
        <w:numPr>
          <w:ilvl w:val="0"/>
          <w:numId w:val="2"/>
        </w:numPr>
        <w:spacing w:after="60" w:line="264"/>
      </w:pPr>
      <w:r>
        <w:rPr>
          <w:rFonts w:ascii="Calibri" w:cs="Calibri" w:eastAsia="Calibri" w:hAnsi="Calibri"/>
          <w:color w:val="1A2420"/>
          <w:sz w:val="21"/>
          <w:szCs w:val="21"/>
        </w:rPr>
        <w:t xml:space="preserve">HSC §§1204/1206; 16 CCR §1340; BPC §§2400/2401/650/2837.103-.104; Gov. Code §12586; CDPH FY25-26 fee report ($1,646) and PCC FAQ; Board of Pharmacy clinic packet ($620); DIR health-care minimum wage FAQ</w:t>
      </w:r>
    </w:p>
    <w:p>
      <w:pPr>
        <w:pStyle w:val="ListParagraph"/>
        <w:numPr>
          <w:ilvl w:val="0"/>
          <w:numId w:val="2"/>
        </w:numPr>
        <w:spacing w:after="60" w:line="264"/>
      </w:pPr>
      <w:r>
        <w:rPr>
          <w:rFonts w:ascii="Calibri" w:cs="Calibri" w:eastAsia="Calibri" w:hAnsi="Calibri"/>
          <w:color w:val="1A2420"/>
          <w:sz w:val="21"/>
          <w:szCs w:val="21"/>
        </w:rPr>
        <w:t xml:space="preserve">42 USC §233(o) + HRSA CY2026 Free Clinic FTCA program letter; 42 USC §§14503-14505 (Volunteer Protection Act)</w:t>
      </w:r>
    </w:p>
    <w:p>
      <w:pPr>
        <w:pStyle w:val="ListParagraph"/>
        <w:numPr>
          <w:ilvl w:val="0"/>
          <w:numId w:val="2"/>
        </w:numPr>
        <w:spacing w:after="60" w:line="264"/>
      </w:pPr>
      <w:r>
        <w:rPr>
          <w:rFonts w:ascii="Calibri" w:cs="Calibri" w:eastAsia="Calibri" w:hAnsi="Calibri"/>
          <w:color w:val="1A2420"/>
          <w:sz w:val="21"/>
          <w:szCs w:val="21"/>
        </w:rPr>
        <w:t xml:space="preserve">IRS 1023 fees and current processing times; SOS fee schedule; AG initial registration; FTB 3500A</w:t>
      </w:r>
    </w:p>
    <w:p>
      <w:pPr>
        <w:pStyle w:val="ListParagraph"/>
        <w:numPr>
          <w:ilvl w:val="0"/>
          <w:numId w:val="2"/>
        </w:numPr>
        <w:spacing w:after="60" w:line="264"/>
      </w:pPr>
      <w:r>
        <w:rPr>
          <w:rFonts w:ascii="Calibri" w:cs="Calibri" w:eastAsia="Calibri" w:hAnsi="Calibri"/>
          <w:color w:val="1A2420"/>
          <w:sz w:val="21"/>
          <w:szCs w:val="21"/>
        </w:rPr>
        <w:t xml:space="preserve">IEHP Fact Sheet June 2026 (1,420,789 members); NAFC 2025 Data Report; athenaGives; Social Good Fund + Community Partners fee pages; Cost Plus Drugs</w:t>
      </w:r>
    </w:p>
    <w:p>
      <w:pPr>
        <w:pStyle w:val="ListParagraph"/>
        <w:numPr>
          <w:ilvl w:val="0"/>
          <w:numId w:val="2"/>
        </w:numPr>
        <w:spacing w:after="60" w:line="264"/>
      </w:pPr>
      <w:r>
        <w:rPr>
          <w:rFonts w:ascii="Calibri" w:cs="Calibri" w:eastAsia="Calibri" w:hAnsi="Calibri"/>
          <w:color w:val="1A2420"/>
          <w:sz w:val="21"/>
          <w:szCs w:val="21"/>
        </w:rPr>
        <w:t xml:space="preserve">Funder pages verified individually — see the grants matrix workbook for all 40+ URLs</w:t>
      </w:r>
    </w:p>
    <w:p>
      <w:pPr>
        <w:spacing w:after="120" w:before="120" w:line="264"/>
      </w:pPr>
      <w:r>
        <w:rPr>
          <w:rFonts w:ascii="Calibri" w:cs="Calibri" w:eastAsia="Calibri" w:hAnsi="Calibri"/>
          <w:i/>
          <w:iCs/>
          <w:color w:val="1A2420"/>
          <w:sz w:val="21"/>
          <w:szCs w:val="21"/>
        </w:rPr>
        <w:t xml:space="preserve">Companion files: 2026-08-13_inland-mind_feasibility_model_v2.xlsx · 2026-08-13_inland-mind_grants_matrix_v1.xlsx · inland-mind-website.zip (+ deploy guide).</w:t>
      </w:r>
    </w:p>
    <w:sectPr>
      <w:footerReference w:type="default" r:id="rId7"/>
      <w:pgSz w:w="12240" w:h="15840" w:orient="portrait"/>
      <w:pgMar w:top="1080" w:right="1180" w:bottom="10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66666"/>
        <w:sz w:val="16"/>
        <w:szCs w:val="16"/>
      </w:rPr>
      <w:t xml:space="preserve">Inland Mind Foundation — Verification Report &amp; Launch Strategy · </w:t>
    </w:r>
    <w:r>
      <w:rPr>
        <w:rFonts w:ascii="Calibri" w:cs="Calibri" w:eastAsia="Calibri" w:hAnsi="Calibri"/>
        <w:color w:val="6666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42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80"/>
      <w:outlineLvl w:val="0"/>
    </w:pPr>
    <w:rPr>
      <w:rFonts w:ascii="Georgia" w:cs="Georgia" w:eastAsia="Georgia" w:hAnsi="Georgia"/>
      <w:b/>
      <w:bCs/>
      <w:color w:val="123F33"/>
      <w:sz w:val="30"/>
      <w:szCs w:val="30"/>
    </w:rPr>
  </w:style>
  <w:style w:type="paragraph" w:styleId="Heading2">
    <w:name w:val="Heading 2"/>
    <w:basedOn w:val="Normal"/>
    <w:next w:val="Normal"/>
    <w:qFormat/>
    <w:pPr>
      <w:spacing w:after="100" w:before="200"/>
      <w:outlineLvl w:val="1"/>
    </w:pPr>
    <w:rPr>
      <w:rFonts w:ascii="Calibri" w:cs="Calibri" w:eastAsia="Calibri" w:hAnsi="Calibri"/>
      <w:b/>
      <w:bCs/>
      <w:color w:val="1A242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2026-08-13T21:09:06.591Z</dcterms:created>
  <dcterms:modified xsi:type="dcterms:W3CDTF">2026-08-13T21:09:06.615Z</dcterms:modified>
</cp:coreProperties>
</file>

<file path=docProps/custom.xml><?xml version="1.0" encoding="utf-8"?>
<Properties xmlns="http://schemas.openxmlformats.org/officeDocument/2006/custom-properties" xmlns:vt="http://schemas.openxmlformats.org/officeDocument/2006/docPropsVTypes"/>
</file>